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39425-2023 i Gotlands kommun</w:t>
      </w:r>
    </w:p>
    <w:p>
      <w:r>
        <w:t>Detta dokument behandlar höga naturvärden i avverkningsanmälan A 39425-2023 i Gotlands kommun. Denna avverkningsanmälan inkom 2023-08-28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violgubbe (VU), anisspindling (S), rödgul trumpetsvamp (S) och svavelriska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39425-2023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6370419, E 728054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Violgubbe (VU)</w:t>
      </w:r>
      <w:r>
        <w:t xml:space="preserve"> bildar mykorrhiza med gran och bok och ev. andra trädslag i ängsgran- och ängsbokskog på kalkrik mark. Arten är placerad högst upp i Skogsstyrelsens värdepyramid för bedömning av skog med höga naturvärden och indikerar alltid skogsområden med höga naturvärden. Det största hotet mot arten är skogsavverkning och den omfattas av ett åtgärdsprogram för hotade arter (ÅGP). Violgubben överlever inte en slutavverkning och verkar dessutom ha svårt att etablera sig i yngre skogsbestånd (SLU Artdatabanken, 2024; Nitare &amp; Skogsstyrelsen, 2019; Aronsson, 2006).</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8728612"/>
            <wp:docPr id="2" name="Picture 2"/>
            <wp:cNvGraphicFramePr>
              <a:graphicFrameLocks noChangeAspect="1"/>
            </wp:cNvGraphicFramePr>
            <a:graphic>
              <a:graphicData uri="http://schemas.openxmlformats.org/drawingml/2006/picture">
                <pic:pic>
                  <pic:nvPicPr>
                    <pic:cNvPr id="0" name="A 39425-2023 karta knärot.png"/>
                    <pic:cNvPicPr/>
                  </pic:nvPicPr>
                  <pic:blipFill>
                    <a:blip r:embed="rId17"/>
                    <a:stretch>
                      <a:fillRect/>
                    </a:stretch>
                  </pic:blipFill>
                  <pic:spPr>
                    <a:xfrm>
                      <a:off x="0" y="0"/>
                      <a:ext cx="5486400" cy="87286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6370419, E 728054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