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40099-2025 i Gotlands kommun</w:t>
      </w:r>
    </w:p>
    <w:p>
      <w:r>
        <w:t>Detta dokument behandlar höga naturvärden i avverkningsanmälan A 40099-2025 i Gotlands kommun. Denna avverkningsanmälan inkom 2025-08-25 11:37:52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mörkfjällig olivspindling (VU), fjällig taggsvamp s.str. (S), olivspindling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25779"/>
            <wp:docPr id="1" name="Picture 1"/>
            <wp:cNvGraphicFramePr>
              <a:graphicFrameLocks noChangeAspect="1"/>
            </wp:cNvGraphicFramePr>
            <a:graphic>
              <a:graphicData uri="http://schemas.openxmlformats.org/drawingml/2006/picture">
                <pic:pic>
                  <pic:nvPicPr>
                    <pic:cNvPr id="0" name="A 40099-2025 karta.png"/>
                    <pic:cNvPicPr/>
                  </pic:nvPicPr>
                  <pic:blipFill>
                    <a:blip r:embed="rId16"/>
                    <a:stretch>
                      <a:fillRect/>
                    </a:stretch>
                  </pic:blipFill>
                  <pic:spPr>
                    <a:xfrm>
                      <a:off x="0" y="0"/>
                      <a:ext cx="5486400" cy="742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6399800, E 712741 i SWEREF 99 TM.</w:t>
      </w:r>
    </w:p>
    <w:p>
      <w:r>
        <w:rPr>
          <w:b/>
        </w:rPr>
        <w:t>Mörkfjällig olivspindling (VU)</w:t>
      </w:r>
      <w:r>
        <w:t xml:space="preserve"> är en mycket kräsen art som bara förekommer i vissa betespräglade kalktallskogar med långvarig tallkontinuitet samt i exklusiva ädellövskogar på kalk. Arten får betraktas som en ”toppart” som indikerar starkt skyddsvärda skogsområden och den är placerad högst upp i Skogsstyrelsens värdepyramid för bedömning av skog med höga naturvärden. Minskningstakten har uppgått till 30 % under de senaste 50 åren och överstiger gränsvärdet för Sårbar (VU)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