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43201-2023 i Gotlands kommun</w:t>
      </w:r>
    </w:p>
    <w:p>
      <w:r>
        <w:t>Detta dokument behandlar höga naturvärden i avverkningsanmälan A 43201-2023 i Gotlands kommun. Denna avverkningsanmälan inkom 2023-09-14 00:00:00 och omfattar 5,6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mörk lundlav (CR), norsk belonia (EN), almlav (VU), blek kraterlav (VU), mörk kraterlav (VU), lunglav (NT), skuggorangelav (NT), lönnlav (S), rostfläck (S), slät lönnlav (S) och vitskivlav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43201-2023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6401090, E 710523 i SWEREF 99 TM.</w:t>
      </w:r>
    </w:p>
    <w:p>
      <w:r>
        <w:rPr>
          <w:b/>
        </w:rPr>
        <w:t>Almlav (VU)</w:t>
      </w:r>
      <w:r>
        <w:t xml:space="preserve"> förekommer främst i södra och mellersta Sverige men har även några enstaka förekomster upp till Åsele Lappmark. Växer på gamla ädellövträd (till mer än 80% på ask och alm) eller i norra Sverige på sydvända klippväggar av dolomit eller kalksten. Almlav har tillsammans med lunglav lyfts fram som en av de mest användbara indikatorerna på skyddsvärd ädellövskog. Den visar på såväl hela biotoper som enskilda träd med höga naturvärden (SLU Artdatabanken, 2024; Nitare &amp; Skogsstyrelsen, 2019).</w:t>
      </w:r>
    </w:p>
    <w:p>
      <w:r>
        <w:rPr>
          <w:b/>
        </w:rPr>
        <w:t>Blek kraterlav (VU)</w:t>
      </w:r>
      <w:r>
        <w:t xml:space="preserve"> växer på grova ädellövträd (till mer än 80% på ask och alm men någon gång på ek och lönn) i gamla skogar, öppna lövängar, alléer och kyrkogårdar. Arten förekommer på lokaler med lång trädkontinuitet, ofta tillsammans med den rödlistade almlaven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kraterlav (VU)</w:t>
      </w:r>
      <w:r>
        <w:t xml:space="preserve"> växer på grov bark av ädellövträd som bok, alm, ask, lönn och ek. Miljöerna varierar från slutna bokskogar och andra ädellövskogar till öppna lövängar, alléer och parkmiljöer. Arten påträffas ofta vid basen av träden, men den förekommer inte sällan även en bit upp på stammen. Miljöerna har lång kontinuitet på gamla träd och tillsammans med mörk kraterlav förekommer ofta andra rödlistade lavar (SLU Artdatabanken, 2024).</w:t>
      </w:r>
    </w:p>
    <w:p>
      <w:r>
        <w:rPr>
          <w:b/>
        </w:rPr>
        <w:t>Skuggorangelav (NT)</w:t>
      </w:r>
      <w:r>
        <w:t xml:space="preserve"> växer främst på gamla grova ekar i halvöppna lägen. På lokaler med skuggorangelav måste ett tillräckligt antal unga träd tillåtas bli mycket gamla för att på lång sikt ersätta de nuvarande gammelträden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