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445-2023 i Gotlands kommun</w:t>
      </w:r>
    </w:p>
    <w:p>
      <w:r>
        <w:t>Detta dokument behandlar höga naturvärden i avverkningsanmälan A 445-2023 i Gotlands kommun. Denna avverkningsanmälan inkom 2023-01-03 00:00:00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garderönn (VU, §7), granrotsspindling (VU), gulsträngad fagerspindling (VU), taggfingersvamp (VU), duvhök (NT, §4), jordtistel (NT), odörspindling (NT), spillkråka (NT, §4), svinrot (NT), trollspindling (DD), besk kastanjemusseron (S), rödgul trumpetsvamp (S) och vårärt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6106"/>
            <wp:docPr id="1" name="Picture 1"/>
            <wp:cNvGraphicFramePr>
              <a:graphicFrameLocks noChangeAspect="1"/>
            </wp:cNvGraphicFramePr>
            <a:graphic>
              <a:graphicData uri="http://schemas.openxmlformats.org/drawingml/2006/picture">
                <pic:pic>
                  <pic:nvPicPr>
                    <pic:cNvPr id="0" name="A 445-2023 karta.png"/>
                    <pic:cNvPicPr/>
                  </pic:nvPicPr>
                  <pic:blipFill>
                    <a:blip r:embed="rId16"/>
                    <a:stretch>
                      <a:fillRect/>
                    </a:stretch>
                  </pic:blipFill>
                  <pic:spPr>
                    <a:xfrm>
                      <a:off x="0" y="0"/>
                      <a:ext cx="5486400" cy="4276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6361534, E 704439 i SWEREF 99 TM.</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Taggfingersvamp (VU) </w:t>
      </w:r>
      <w:r>
        <w:t>är knuten till granskogar med långvarig kontinuitet och bildar mykorrhiza med gran på rikare mark. Den totala populationen i landet bedöms ha minskat kraftigt och fortgående att minska, huvudsakligen p.g.a. att arealen örtrik äldre granskog har minskat de senaste 50 åren. Den hotas främst av skogsavverkning och tycks försvinna efter slutavverkning, markberedning och plantering och det saknas uppgifter om fynd i planterad skog eller sekundär granskog uppkommen på kalmark. Taggfingersvamp är placerad högst upp i Skogsstyrelsens värdepyramid för bedömning av skog med höga naturvärden. Områdesskydd är en viktig åtgärd för att bevara artens förekomster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garderönn (VU, §7), duvhök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Garderönn (VU, §7)</w:t>
      </w:r>
      <w:r>
        <w:t xml:space="preserve"> är strikt skyddad enligt §7 Artskyddsförordningen (bilaga 1) vilket innebär att hela dess livsmiljö ska bevaras. Den är enbart är känd från ett mindre område på östra Gotland där den växer i gles kalktallskog och på kalkhällar. Arten hotas genom sin lilla population. Markägare och verksamma inom skogsnäringen inom det område där garderönnen växer måste lära sig känna igen denna strikt skyddade art, för att undvika att skada den av misstag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