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44928-2022 i Gotlands kommun</w:t>
      </w:r>
    </w:p>
    <w:p>
      <w:r>
        <w:t>Detta dokument behandlar höga naturvärden i avverkningsanmälan A 44928-2022 i Gotlands kommun. Denna avverkningsanmälan inkom 2022-10-07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barkkvastmossa (EN, §8).</w:t>
      </w:r>
    </w:p>
    <w:p>
      <w:r>
        <w:rPr>
          <w:b/>
        </w:rPr>
        <w:t xml:space="preserve">Barkkvastmossa (EN, §8) </w:t>
      </w:r>
      <w:r>
        <w:t>är en starkt hotad art som växer på bark av gamla ädellövträd. Miljöerna utgörs ofta av äldre lövrika blandskogar med hög luftfuktighet, t.ex. i närheten av vattendrag och glupar. Arten är fridlyst enligt 8 § artskyddsförordningen och omfattas av ett åtgärdsprogram för hotade arter (ÅGP) samt av EU:s art- och habitatdirektiv där dess bevarandestatus är dålig med negativ trend. Skogsbruksåtgärder som minskar mängden rikbarksträd och luftfuktigheten på lokalerna utgör ett hot mot barkkvastmossan. Samtliga kända lokaler måste ges ett ändamålsenligt skydd där trädslag som ask, lind, ek och klibbal gynnas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