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44933-2022 i Gotlands kommun</w:t>
      </w:r>
    </w:p>
    <w:p>
      <w:r>
        <w:t>Detta dokument behandlar höga naturvärden i avverkningsanmälan A 44933-2022 i Gotlands kommun. Denna avverkningsanmälan inkom 2022-10-07 00:00:00 och omfattar 4,5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ekvaxskivling (NT), odörspindling (NT), skarp dropptaggsvamp (S) och skogsknipprot (S, §8).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7557"/>
            <wp:docPr id="1" name="Picture 1"/>
            <wp:cNvGraphicFramePr>
              <a:graphicFrameLocks noChangeAspect="1"/>
            </wp:cNvGraphicFramePr>
            <a:graphic>
              <a:graphicData uri="http://schemas.openxmlformats.org/drawingml/2006/picture">
                <pic:pic>
                  <pic:nvPicPr>
                    <pic:cNvPr id="0" name="A 44933-2022 karta.png"/>
                    <pic:cNvPicPr/>
                  </pic:nvPicPr>
                  <pic:blipFill>
                    <a:blip r:embed="rId16"/>
                    <a:stretch>
                      <a:fillRect/>
                    </a:stretch>
                  </pic:blipFill>
                  <pic:spPr>
                    <a:xfrm>
                      <a:off x="0" y="0"/>
                      <a:ext cx="5486400" cy="44675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6363652, E 699426 i SWEREF 99 TM.</w:t>
      </w:r>
    </w:p>
    <w:p>
      <w:r>
        <w:rPr>
          <w:b/>
        </w:rPr>
        <w:t>Ekvaxskivling (NT)</w:t>
      </w:r>
      <w:r>
        <w:t xml:space="preserve"> bildar mykorrhiza med ek i i kalk- och örtrika, helst betespräglad och luckig ekskog, blandskog, lövlund och hagmark. Svampen har en oangenäm lukt, en s.k.”cossus-lukt” som påminner om den hos större träfjäril.  Det främsta hotet är avverkning av artens värdträd och förändringar i dess skogsmiljö. Öppna och luckiga ekskogar och ekhagar där arten förekommer bör bevaras med fortsatt hävd (SLU Artdatabanken, 2024).</w:t>
      </w:r>
    </w:p>
    <w:p>
      <w:r>
        <w:rPr>
          <w:b/>
        </w:rPr>
        <w:t>Odörspindling (NT)</w:t>
      </w:r>
      <w:r>
        <w:t xml:space="preserve"> bildar mykorrhiza med gran och tall i örtrik kalkbarrskog. Den uppträder huvudsakligen i äldre barrskogar så kallade ”bondeskogar” med en lång trädkontinuitet. Minskningstakten uppgår till 15 % inom 50 år och bedöms vara nära gränsvärdet för Sårbar (VU). (A2c+3c+4c). Virkesrika, äldre barrskogar med hög bonitet, på bättre jordar är en bristvara i befintliga, skyddade områden i Sverige och fler örtrika barrskogar med trädkontinuitet måste skyddas i större utsträckning än vad som tidigare gjorts. Områden med odörspindling bör inte gallras eller plockhuggas om inte huggningen efterföljs av skogsbete (SLU Artdatabanken, 2024).</w:t>
      </w:r>
    </w:p>
    <w:p>
      <w:pPr>
        <w:pStyle w:val="Heading1"/>
      </w:pPr>
      <w:r>
        <w:t>Fridlysta arter</w:t>
      </w:r>
    </w:p>
    <w:p>
      <w:r>
        <w:t>Följande fridlysta arter har sina livsmiljöer och växtplatser i den avverkningsanmälda skogen: skogsknipprot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