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44944-2022 i Gotlands kommun</w:t>
      </w:r>
    </w:p>
    <w:p>
      <w:r>
        <w:t>Detta dokument behandlar höga naturvärden i avverkningsanmälan A 44944-2022 i Gotlands kommun. Denna avverkningsanmälan inkom 2022-10-07 00:00:00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denisespindling (NT), odörspindling (NT), anisspindling (S), fjällig taggsvamp s.str. (S) och rödgul trumpetsvamp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6634"/>
            <wp:docPr id="1" name="Picture 1"/>
            <wp:cNvGraphicFramePr>
              <a:graphicFrameLocks noChangeAspect="1"/>
            </wp:cNvGraphicFramePr>
            <a:graphic>
              <a:graphicData uri="http://schemas.openxmlformats.org/drawingml/2006/picture">
                <pic:pic>
                  <pic:nvPicPr>
                    <pic:cNvPr id="0" name="A 44944-2022 karta.png"/>
                    <pic:cNvPicPr/>
                  </pic:nvPicPr>
                  <pic:blipFill>
                    <a:blip r:embed="rId16"/>
                    <a:stretch>
                      <a:fillRect/>
                    </a:stretch>
                  </pic:blipFill>
                  <pic:spPr>
                    <a:xfrm>
                      <a:off x="0" y="0"/>
                      <a:ext cx="5486400" cy="34666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6384115, E 691953 i SWEREF 99 TM.</w:t>
      </w:r>
    </w:p>
    <w:p>
      <w:r>
        <w:rPr>
          <w:b/>
        </w:rPr>
        <w:t>Denisespindling (NT)</w:t>
      </w:r>
      <w:r>
        <w:t xml:space="preserve"> bildar mykorrhiza med tall och gran i kalktallskog och ängsgranskog på kalkrik mark. Artens koppling till produktiva äldre granskogar med hög bonitet gör den särskilt utsatt för slutavverkning. Kalkbarrskogar med höga naturvärden bör undantas från rationellt skogsbruk och få områdesskydd med anpassade skötselråd (SLU Artdatabanken, 2024).</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