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45248-2024 i Gotlands kommun</w:t>
      </w:r>
    </w:p>
    <w:p>
      <w:r>
        <w:t>Detta dokument behandlar höga naturvärden i avverkningsanmälan A 45248-2024 i Gotlands kommun. Denna avverkningsanmälan inkom 2024-10-11 00:00:00 och omfattar 9,4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lundalm (CR), ask (EN), mjölspindling (VU), oxtungssvamp (NT), myskmadra (S), stinkbrosking (S) och underviol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45248-2024 karta.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6387848, E 710508 i SWEREF 99 TM.</w:t>
      </w:r>
    </w:p>
    <w:p>
      <w:r>
        <w:rPr>
          <w:b/>
        </w:rPr>
        <w:t xml:space="preserve">Mjölspindling (VU) </w:t>
      </w:r>
      <w:r>
        <w:t>bildar mykorrhiza med ek och hassel i ädellövskog, löväng och hässlen på kalkrik mark. Förändringar av växtmiljön på grund av ändrad markanvändning, t.ex. minskad hävd, avverkning av lövträd eller plantering av barrskog utgör tydliga hot. Kända växtplatser bör bevaras och fortsätta att hävdas. För att gynna arten bör skogsbruk i ädellövskog på kalkrik mark undvikas (SLU Artdatabanken, 2024).</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Stinkbrosking</w:t>
      </w:r>
      <w:r>
        <w:t xml:space="preserve"> är en mycket bra signalart knuten till gamla lövskogar och hassellundar, i varma men ändå fuktiga lägen på kalkhaltiga mulljordar, där det finns rikligt med död ved och ett successivt årligt nedfall av grenar och pinnar. På lokalerna finns oftast en rik lundflora med många andra ovanliga och rödlistade arter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