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4716-2024 i Gotlands kommun</w:t>
      </w:r>
    </w:p>
    <w:p>
      <w:r>
        <w:t>Detta dokument behandlar höga naturvärden i avverkningsanmälan A 4716-2024 i Gotlands kommun. Denna avverkningsanmälan inkom 2024-02-06 00:00:00 och omfattar 8,0 ha.</w:t>
      </w:r>
    </w:p>
    <w:p>
      <w:r>
        <w:t>Nedan presenteras fynd av naturvårdsarter och fridlysta arter som gjorts i det avverkningsanmälda området, samt relevanta utdrag ur standarderna för FSC, Chain of Custody, Controlled Wood och PEFC.</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47 naturvårdsarter hittats: blek bananspindling (EN), droppskivling (EN), blyspindling agg. (VU), bullspindling (VU), duvspindling (VU), dvärgfjällskivling (VU), gulsträngad fagerspindling (VU), mörkfjällig olivspindling (VU), narrspindling (VU), praktspindling (VU), sammetsbockrot (VU), svartgrön spindling (VU), tallvaxskivling (VU), tvillingspindling (VU), violettfläckig spindling (VU), violettrandad spindling (VU), vit taggsvamp (VU), backtimjan (NT), blekspindling agg. (NT), bredbrämad bastardsvärmare (NT), denisespindling (NT), flattoppad klubbsvamp (NT), gulsparv (NT, §4), jordtistel (NT), odörspindling (NT), sandkremla (NT), slåtterfibbla (NT), svart taggsvamp (NT), pärlchampinjon (DD), anisspindling (S), besk kastanjemusseron (S), diskvaxskivling (S), kastanjefjällskivling (S), kryddspindling (S), murgröna (S), olivspindling (S), purpurknipprot (S, §8), rödgul trumpetsvamp (S), skogsknipprot (S, §8), strimspindling (S), grönsiska (§4), skogsduva (§4), brudsporre (§8), grönvit nattviol (§8), johannesnycklar (§8), nattviol (§8) och blåsippa (§9). Av dessa är 29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287526"/>
            <wp:docPr id="1" name="Picture 1"/>
            <wp:cNvGraphicFramePr>
              <a:graphicFrameLocks noChangeAspect="1"/>
            </wp:cNvGraphicFramePr>
            <a:graphic>
              <a:graphicData uri="http://schemas.openxmlformats.org/drawingml/2006/picture">
                <pic:pic>
                  <pic:nvPicPr>
                    <pic:cNvPr id="0" name="A 4716-2024 karta.png"/>
                    <pic:cNvPicPr/>
                  </pic:nvPicPr>
                  <pic:blipFill>
                    <a:blip r:embed="rId16"/>
                    <a:stretch>
                      <a:fillRect/>
                    </a:stretch>
                  </pic:blipFill>
                  <pic:spPr>
                    <a:xfrm>
                      <a:off x="0" y="0"/>
                      <a:ext cx="5486400" cy="32875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6358315, E 692988 i SWEREF 99 TM.</w:t>
      </w:r>
    </w:p>
    <w:p>
      <w:r>
        <w:rPr>
          <w:b/>
        </w:rPr>
        <w:t>Bullspindling (VU)</w:t>
      </w:r>
      <w:r>
        <w:t xml:space="preserve"> är en kräsen och mycket bra signalart för skyddsvärda äldre granskogar på kalkrik mark. Den är placerad högst upp i Skogsstyrelsens värdepyramid för bedömning av skog med höga naturvärden och skogsbruk, främst kalavverkning utgör ett stort hot mot arten. Artens minskningstakt uppgår till 30 % inom 50 år och överstiger gränsvärdet för Sårbar (VU) (SLU Artdatabanken, 2024; Nitare &amp; Skogsstyrelsen, 2019).</w:t>
      </w:r>
    </w:p>
    <w:p>
      <w:r>
        <w:rPr>
          <w:b/>
        </w:rPr>
        <w:t>Denisespindling (NT)</w:t>
      </w:r>
      <w:r>
        <w:t xml:space="preserve"> bildar mykorrhiza med tall och gran i kalktallskog och ängsgranskog på kalkrik mark. Artens koppling till produktiva äldre granskogar med hög bonitet gör den särskilt utsatt för slutavverkning. Kalkbarrskogar med höga naturvärden bör undantas från rationellt skogsbruk och få områdesskydd med anpassade skötselråd (SLU Artdatabanken, 2024).</w:t>
      </w:r>
    </w:p>
    <w:p>
      <w:r>
        <w:rPr>
          <w:b/>
        </w:rPr>
        <w:t>Duvspindling (VU)</w:t>
      </w:r>
      <w:r>
        <w:t xml:space="preserve"> bildar mykorrhiza med tall och förmodligen även gran i torr, kalkrik barrskog. Arten är placerad högst upp i Skogsstyrelsens värdepyramid för bedömning av skog med höga naturvärden och utgör en mycket bra indikator på skyddsvärd kalktallskog av sydöstlig typ. Kalavverkning, markberedning och markavvattning utgör de främsta hoten (SLU Artdatabanken, 2024; Nitare &amp; Skogsstyrelsen, 2019).</w:t>
      </w:r>
    </w:p>
    <w:p>
      <w:r>
        <w:rPr>
          <w:b/>
        </w:rPr>
        <w:t xml:space="preserve">Dvärgfjällskivling (VU) </w:t>
      </w:r>
      <w:r>
        <w:t>är en nedbrytare i lövförna och andra växtrester i ädellövskog, hässlen, löväng och lund på kalkrik mark. Mycket sällsynt och total population i landet liten och bedöms ha minskat och fortsätta minska, framför allt p.g.a. igenväxning av halvöppna ädellövrika äldre fodermarker med mosaikstruktur. Även avverkning och körskador eller markberedning är konkreta hot på kända växtplatser (SLU Artdatabanken, 2024).</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Gulsträngad fagerspindling (VU)</w:t>
      </w:r>
      <w:r>
        <w:t>, som bildar mykorrhiza med tall och gran i luckig kalkbarrskog, har sin huvudsakliga utbredning på Gotland samt enstaka fynd på norra Öland. Arten är placerad högst upp i Skogsstyrelsens värdepyramid för bedömning av skog med höga naturvärden och hotas av slutavverkningar av äldre kontinuitetsbarrskog. Lokaler med arten måste skyddas från avverkning och kalkbrytning. Gulsträngad fagerspindling är globalt rödlistad som sårbar (VU) vilket innebär att Sverige har ett internationellt ansvar för arten (SLU Artdatabanken, 2024; Nitare &amp; Skogsstyrelsen, 2019; IUCN, 2019).</w:t>
      </w:r>
    </w:p>
    <w:p>
      <w:r>
        <w:rPr>
          <w:b/>
        </w:rPr>
        <w:t>Mörkfjällig olivspindling (VU)</w:t>
      </w:r>
      <w:r>
        <w:t xml:space="preserve"> är en mycket kräsen art som bara förekommer i vissa betespräglade kalktallskogar med långvarig tallkontinuitet samt i exklusiva ädellövskogar på kalk. Arten får betraktas som en ”toppart” som indikerar starkt skyddsvärda skogsområden och den är placerad högst upp i Skogsstyrelsens värdepyramid för bedömning av skog med höga naturvärden. Minskningstakten har uppgått till 30 % under de senaste 50 åren och överstiger gränsvärdet för Sårbar (VU) (SLU Artdatabanken, 2024; Nitare &amp; Skogsstyrelsen, 2019).</w:t>
      </w:r>
    </w:p>
    <w:p>
      <w:r>
        <w:rPr>
          <w:b/>
        </w:rPr>
        <w:t>Narrspindling (VU)</w:t>
      </w:r>
      <w:r>
        <w:t xml:space="preserve"> bildar mykorrhiza med tall på kalkrik mark i luckig kalktallskog. Den är placerad högst upp i Skogsstyrelsens värdepyramid för bedömning av skog med höga naturvärden och är i Norden bara känd från ett fåtal lokaler på Gotland. Arten är mycket sårbar genom sin fåtaliga förekomst och bedöms ha minskat och fortsätter att minska, huvudsakligen p.g.a. slutavverkningar av äldre barrskog (SLU Artdatabanken, 2024; Nitare &amp; Skogsstyrelsen, 2019).</w:t>
      </w:r>
    </w:p>
    <w:p>
      <w:r>
        <w:rPr>
          <w:b/>
        </w:rPr>
        <w:t>Odörspindling (NT)</w:t>
      </w:r>
      <w:r>
        <w:t xml:space="preserve"> bildar mykorrhiza med gran och tall i örtrik kalkbarrskog. Den uppträder huvudsakligen i äldre barrskogar så kallade ”bondeskogar” med en lång trädkontinuitet. Minskningstakten uppgår till 15 % inom 50 år och bedöms vara nära gränsvärdet för Sårbar (VU). (A2c+3c+4c). Virkesrika, äldre barrskogar med hög bonitet, på bättre jordar är en bristvara i befintliga, skyddade områden i Sverige och fler örtrika barrskogar med trädkontinuitet måste skyddas i större utsträckning än vad som tidigare gjorts. Områden med odörspindling bör inte gallras eller plockhuggas om inte huggningen efterföljs av skogsbete (SLU Artdatabanken, 2024).</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Praktspindling (VU) </w:t>
      </w:r>
      <w:r>
        <w:t>bildar mykorrhiza med ek, avenbok och hassel och påträffas i hässlen, ädellövskog och löväng, på torr och kalkrik mark. Avverkning av lövskog eller annan förändring av miljön på växtplatserna kan spoliera artens förekomst och oskyddade lokaler kan behöva säkerställas för att undgå förstörelse. För att öka artens möjligheter att överleva i landet bör fler och större arealer av lövskog skyddas. Praktspindling är placerad högst upp i Skogsstyrelsens värdepyramid för bedömning av skog med höga naturvärden och är även globalt rödlistad som nära hotad (NT) vilket innebär att Sverige har ett internationellt ansvar för arten (SLU Artdatabanken, 2024; IUCN, 2019;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Svartgrön spindling (VU)</w:t>
      </w:r>
      <w:r>
        <w:t>, som bildar mykorrhiza med gran och tall i ängsgranskog och barrblandskog på kalkrik mark, har i Sverige sin huvudsakliga utbredning på Gotland. Arten är placerad högst upp i Skogsstyrelsens värdepyramid för bedömning av skog med höga naturvärden och den missgynnas av intensivt skogsbruk och kalavverkningar. Svartgrön spindling är globalt rödlistad som nära hotad (NT) vilket innebär att Sverige har ett internationellt ansvar för arten (SLU Artdatabanken, 2024; Nitare &amp; Skogsstyrelsen, 2019; IUCN, 2019).</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Tallvaxskivling (VU)</w:t>
      </w:r>
      <w:r>
        <w:t xml:space="preserve"> bildar mykorrhiza med tall i tallskog på kalkrik mark, gärna i lite sluttande lägen med rörligt grundvatten. I Sverige är den endast funnen på Gotland. Lokalerna bör undantas från skogsbruksåtgärder som kan skada arten och skydd bör övervägas (SLU Artdatabanken, 2024).</w:t>
      </w:r>
    </w:p>
    <w:p>
      <w:r>
        <w:rPr>
          <w:b/>
        </w:rPr>
        <w:t>Tvillingspindling (VU)</w:t>
      </w:r>
      <w:r>
        <w:t xml:space="preserve"> bildar mykorrhiza med gran och växer enbart i örtrika grandominerade kalkbarrskogar med kontinuitet och hög bonitet, miljöer som idag är starkt hotade av slutavverkningar. Tvillingspindlingen liksom en lång rad av dess följearter knutna till kalk- och örtrika barrblandskogar med lång kontinuitet är beroende av områdesskydd eller naturvårdsavtal som förhindrar slutavverkningar av dess växtmiljöer (SLU Artdatabanken, 2024).</w:t>
      </w:r>
    </w:p>
    <w:p>
      <w:r>
        <w:rPr>
          <w:b/>
        </w:rPr>
        <w:t>Violettfläckig spindling (VU)</w:t>
      </w:r>
      <w:r>
        <w:t xml:space="preserve"> bildar mykorrhiza med gran och tall i äldre kalkbarrskogar på torr, örtrik mark. Minskningstakten uppgår till 30 % inom 50 år och överstiger gränsvärdet för Sårbar (VU). Artens ekologiska krav med fynd enbart i äldre, örtrika kalkbarrskogar med kontinuitet, miljöer som idag ofta är starkt hotade av slutavverkningar, gör den mycket sårbar. Alla kända lokaler har ett högt skyddsvärde och kalkbarrskogar med höga naturvärden bör få områdesskydd med individuellt anpassade skötselråd (SLU Artdatabanken, 2024).</w:t>
      </w:r>
    </w:p>
    <w:p>
      <w:r>
        <w:rPr>
          <w:b/>
        </w:rPr>
        <w:t>Violettrandad spindling (VU)</w:t>
      </w:r>
      <w:r>
        <w:t xml:space="preserve"> är en sällsynt barrskogsart som bildar mykorrhiza med tall, i kalktallskog och lavtallskog på kalkrik mark. Intensivt skogsbruk med kalavverkning, markberedning etc. minskar artens möjligheter att överleva och dess minskningstakt uppgår till 30 % inom 50 år och överstiger gränsvärdet för Sårbar (VU). Violettrandad spindling är placerad högst upp i Skogsstyrelsens värdepyramid för bedömning av skog med höga naturvärden och på artens kända växtplatser bör avverkning undvikas (SLU Artdatabanken, 2024; Nitare &amp; Skogsstyrelsen, 2019).</w:t>
      </w:r>
    </w:p>
    <w:p>
      <w:r>
        <w:rPr>
          <w:b/>
        </w:rPr>
        <w:t xml:space="preserve">Vit taggsvamp (VU) </w:t>
      </w:r>
      <w:r>
        <w:t>bildar mykorrhiza med gran och tall i äldre ängsgranskog och hällmarksbarrskog på kalkrik mark. Kända aktuella lokaler finns endast på Gotland. Det främsta hotet mot arten är avverkning av dess värdträd gran och tall och kända lokaler bör undantas från avverkning för att säkra att dessa hålls intakta (SLU Artdatabanken, 2024).</w:t>
      </w:r>
    </w:p>
    <w:p>
      <w:pPr>
        <w:pStyle w:val="Heading1"/>
      </w:pPr>
      <w:r>
        <w:t>Fridlysta arter</w:t>
      </w:r>
    </w:p>
    <w:p>
      <w:r>
        <w:t>Följande fridlysta arter har sina livsmiljöer och växtplatser i den avverkningsanmälda skogen: gulsparv (NT, §4), purpurknipprot (S, §8), skogsknipprot (S, §8), grönsiska (§4), skogsduva (§4), brudsporre (§8), grönvit nattviol (§8), johannesnycklar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47 naturvårdsarter varav 29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