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530-2024 i Gotlands kommun</w:t>
      </w:r>
    </w:p>
    <w:p>
      <w:r>
        <w:t>Detta dokument behandlar höga naturvärden i avverkningsanmälan A 530-2024 i Gotlands kommun. Denna avverkningsanmälan inkom 2024-01-08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ask (EN), granrotsspindling (VU), klenodspindling (VU), mörkfjällig olivspindling (VU), odörspindling (NT), svinrot (NT), äggspindling (NT), blå slemspindling (S), fjällig taggsvamp s.str. (S), nästrot (S, §8), olivspindling (S), skarp dropptaggsvamp (S), tvåblad (S, §8), grönsiska (§4), halsbandsflugsnappare (§4), fläcknycklar (§8), nattviol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530-2024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6408257, E 727915 i SWEREF 99 TM.</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Klenodspindling (VU)</w:t>
      </w:r>
      <w:r>
        <w:t>, som bildar mykorrhiza med tall och/eller gran i luckig barrskog på kalkrik mark, är en av Europas sällsyntaste spindelskivlingar och i norra Europa är svampen bara känd från Gotland. Arten är placerad högst upp i Skogsstyrelsens värdepyramid för bedömning av skog med höga naturvärden och växtplatserna utgör ofta ”hotspots” med en koncentration av andra sällsynta och hotade mykorrhizasvampar med liknande miljökrav. Arten hotas av avverkningar och kända fyndlokaler behöver områdesskydd, en nödvändighet och förutsättning för artens framtida fortbestånd i Norra Europa. Sverige (och Gotland) har ett stort internationellt ansvar för att denna sällsynta art bevaras på sina få kända växtplatser (SLU Artdatabanken, 2024; Nitare &amp; Skogsstyrelsen, 2019).</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nästrot (S, §8), tvåblad (S, §8), grönsiska (§4), halsbandsflugsnappare (§4), fläcknycklar (§8),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