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6153-2024 i Gotlands kommun</w:t>
      </w:r>
    </w:p>
    <w:p>
      <w:r>
        <w:t>Detta dokument behandlar höga naturvärden i avverkningsanmälan A 6153-2024 i Gotlands kommun. Denna avverkningsanmälan inkom 2024-02-15 00:00:00 och omfattar 14,2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svartnande fingersvamp (EN), gul lammticka (VU), gulsträngad fagerspindling (VU), läderdoftande fingersvamp (VU), mörkfjällig olivspindling (VU), narrspindling (VU), sotbandad spindling (VU), svartgrön spindling (VU), violettfläckig spindling (VU), odörspindling (NT), anisspindling (S), blå slemspindling (S), kryddspindling (S), mindre märgborre (S) och olivspindling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153-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700907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Svartnande fingersvamp (EN) </w:t>
      </w:r>
      <w:r>
        <w:t>är en mycket sällsynt och starkt hotad art som bara är påträffad i mycket exklusiva miljöer. Den indikerar överallt starkt skyddsvärda områden, såväl skogsmiljöer som öppna kalktorrängar. Lövskogslokalerna utgör gamla strandskogar, lövängar och hagmarker som sedan lång tid tillbaka är igenvuxna och mer eller mindre naturskogsartade. Dessa områden kräver ingen hävd, utan all form av avverkning som leder till mer slutet fältskikt innebär ett hot. På samtliga kända växtplatser förekommer en stor koncentration av andra sällsynta och hotade arter. Svampen är i hela Europa starkt hotad och Sverige hyser sannolikt en stor andel av världspopulationen. Samtliga växtplatser bör skyddas. Svartnande fingersvamp</w:t>
      </w:r>
      <w:r>
        <w:rPr>
          <w:b/>
        </w:rPr>
        <w:t xml:space="preserve"> </w:t>
      </w:r>
      <w:r>
        <w:t>är placerad högst upp i Skogsstyrelsens värdepyramid för bedömning av skog med höga naturvärden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