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61697-2023 i Gotlands kommun</w:t>
      </w:r>
    </w:p>
    <w:p>
      <w:r>
        <w:t>Detta dokument behandlar höga naturvärden i avverkningsanmälan A 61697-2023 i Gotlands kommun. Denna avverkningsanmälan inkom 2023-12-05 00:00:00 och omfattar 8,7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ryl (EN), duvspindling (VU), granrotsspindling (VU), gulsträngad fagerspindling (VU), läderdoftande fingersvamp (VU), svartgrön spindling (VU), tallkejsarspindling (VU), violettrandad spindling (VU), denisespindling (NT), odörspindling (NT), röd skogslilja (NT, §8), säfferot (NT), anisspindling (S), murgröna (S) och nästrot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154"/>
            <wp:docPr id="1" name="Picture 1"/>
            <wp:cNvGraphicFramePr>
              <a:graphicFrameLocks noChangeAspect="1"/>
            </wp:cNvGraphicFramePr>
            <a:graphic>
              <a:graphicData uri="http://schemas.openxmlformats.org/drawingml/2006/picture">
                <pic:pic>
                  <pic:nvPicPr>
                    <pic:cNvPr id="0" name="A 61697-2023 karta.png"/>
                    <pic:cNvPicPr/>
                  </pic:nvPicPr>
                  <pic:blipFill>
                    <a:blip r:embed="rId16"/>
                    <a:stretch>
                      <a:fillRect/>
                    </a:stretch>
                  </pic:blipFill>
                  <pic:spPr>
                    <a:xfrm>
                      <a:off x="0" y="0"/>
                      <a:ext cx="5486400" cy="3197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6411743, E 736754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Tallkejsarspindling (VU)</w:t>
      </w:r>
      <w:r>
        <w:t xml:space="preserve"> bildar mykorrhiza med tall, sällsynt möjligen även med gran, i kalkbarrskog. Arten är mycket sällsynt i Norden och bara känd från enstaka platser på Gotland, norra Öland samt någon enstaka kustnära lokal i nordöstra Uppland. Den är placerad högst upp i Skogsstyrelsens värdepyramid för bedömning av skog med höga naturvärden och hotas av skogsbruk med slutavverkningar eller andra avverkningar. Samtliga lokaler och växtplatser bör få ett formellt skydd (SLU Artdatabanken, 2024; Nitare &amp; Skogsstyrelsen, 2019).</w:t>
      </w:r>
    </w:p>
    <w:p>
      <w:r>
        <w:rPr>
          <w:b/>
        </w:rPr>
        <w:t>Violettrandad spindling (VU)</w:t>
      </w:r>
      <w:r>
        <w:t xml:space="preserve"> är en sällsynt barrskogsart som bildar mykorrhiza med tall, i kalktallskog och lavtallskog på kalkrik mark. Intensivt skogsbruk med kalavverkning, markberedning etc. minskar artens möjligheter att överleva och dess minskningstakt uppgår till 30 % inom 50 år och överstiger gränsvärdet för Sårbar (VU). Violettrandad spindling är placerad högst upp i Skogsstyrelsens värdepyramid för bedömning av skog med höga naturvärden och på artens kända växtplatser bör avverkning undvikas (SLU Artdatabanken, 2024; Nitare &amp; Skogsstyrelsen, 2019).</w:t>
      </w:r>
    </w:p>
    <w:p>
      <w:pPr>
        <w:pStyle w:val="Heading1"/>
      </w:pPr>
      <w:r>
        <w:t>Fridlysta arter</w:t>
      </w:r>
    </w:p>
    <w:p>
      <w:r>
        <w:t>Följande fridlysta arter har sina livsmiljöer och växtplatser i den avverkningsanmälda skogen: röd skogslilja (NT, §8) och nästrot (S, §8).</w:t>
      </w:r>
    </w:p>
    <w:p>
      <w:r>
        <w:rPr>
          <w:b/>
        </w:rPr>
        <w:t>Röd skogslilja (NT, §8)</w:t>
      </w:r>
      <w:r>
        <w:t xml:space="preserve"> växer i öppna skogar, oftast i barrskogar, vilka domineras av tall. Den gynnas av kalk och sand och hittas i torrare miljöer än de flesta andra orkidéer. Arten är mycket känslig för markberedning men även av en alltför kraftig beskuggning. Den är känslig mot slutavverkning men vissa skogsbruksåtgärder kan möjligen gynna arten om det görs på rätt sätt. Röd skogslilja är fridlyst enligt 8 § artskyddsförordningen och placerad högst upp i Skogsstyrelsens värdepyramid för bedömning av skog med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