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62551-2022 i Gotlands kommun</w:t>
      </w:r>
    </w:p>
    <w:p>
      <w:r>
        <w:t>Detta dokument behandlar höga naturvärden i avverkningsanmälan A 62551-2022 i Gotlands kommun. Denna avverkningsanmälan inkom 2022-12-29 00:00:00 och omfattar 7,9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granrotsspindling (VU), svartgrön spindling (VU), backtimjan (NT), odörspindling (NT), solvända (NT), svinrot (NT), äggspindling (NT), anisspindling (S), blomkålssvamp (S), blå slemspindling (S), blåmossa (S), diskvaxskivling (S), fransig jordstjärna (S), kryddspindling (S), purpurknipprot (S, §8), rödgul trumpetsvamp (S) och alvarstånds (§7).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62551-2022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6360078, E 701528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Äggspindling (NT) </w:t>
      </w:r>
      <w:r>
        <w:t>bildar mykorrhiza med gran i äldre ängsgranskog på kalkrik mark och kräver sannolikt lång kontinuitet av äldre träd. Arten bedöms ha minskat med mer än 15 % över de senaste 50 åren, p.g.a. slutavverkning av äldre skog och minskningstakten för den svenska populationen bedöms vara nära gränsvärdet för Sårbar (VU). (A2c+3c+4c). På artens växtplatser måste skogsbruk ske med stor försiktighet eftersom de ofta innehåller ett stort antal sällsynta och hotade arter. Lokaler med rika förekomster bör betraktas som nyckelbiotoper och helt undantas från avverkning. Äggspindling är globalt rödlistad som nära hotad (NT) vilket innebär att Sverige har ett internationellt ansvar för arten (SLU Artdatabanken, 2024; Nitare &amp; Skogsstyrelsen, 2019; IUCN, 2019).</w:t>
      </w:r>
    </w:p>
    <w:p>
      <w:pPr>
        <w:pStyle w:val="Heading1"/>
      </w:pPr>
      <w:r>
        <w:t>Fridlysta arter</w:t>
      </w:r>
    </w:p>
    <w:p>
      <w:r>
        <w:t>Följande fridlysta arter har sina livsmiljöer och växtplatser i den avverkningsanmälda skogen: purpurknipprot (S, §8) och alvarstånds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