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10419-2025 i Gotlands kommun</w:t>
      </w:r>
    </w:p>
    <w:p>
      <w:r>
        <w:t>Detta dokument behandlar höga naturvärden i avverkningsanmälan A 10419-2025 i Gotlands kommun. Denna avverkningsanmälan inkom 2025-03-04 00:00:00 och omfattar 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mörkfjällig olivspindling (VU), violettfläckig spindling (VU), anisspindling (S), blå slemspindling (S), fjällig taggsvamp s.str. (S), kryddspindling (S) och olivspindling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21350"/>
            <wp:docPr id="1" name="Picture 1"/>
            <wp:cNvGraphicFramePr>
              <a:graphicFrameLocks noChangeAspect="1"/>
            </wp:cNvGraphicFramePr>
            <a:graphic>
              <a:graphicData uri="http://schemas.openxmlformats.org/drawingml/2006/picture">
                <pic:pic>
                  <pic:nvPicPr>
                    <pic:cNvPr id="0" name="A 10419-2025 karta.png"/>
                    <pic:cNvPicPr/>
                  </pic:nvPicPr>
                  <pic:blipFill>
                    <a:blip r:embed="rId16"/>
                    <a:stretch>
                      <a:fillRect/>
                    </a:stretch>
                  </pic:blipFill>
                  <pic:spPr>
                    <a:xfrm>
                      <a:off x="0" y="0"/>
                      <a:ext cx="5486400" cy="43213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6358334, E 701742 i SWEREF 99 TM.</w:t>
      </w:r>
    </w:p>
    <w:p>
      <w:r>
        <w:rPr>
          <w:b/>
        </w:rPr>
        <w:t>Mörkfjällig olivspindling (VU)</w:t>
      </w:r>
      <w:r>
        <w:t xml:space="preserve"> är en mycket kräsen art som bara förekommer i vissa betespräglade kalktallskogar med långvarig tallkontinuitet samt i exklusiva ädellövskogar på kalk. Arten får betraktas som en ”toppart” som indikerar starkt skyddsvärda skogsområden och den är placerad högst upp i Skogsstyrelsens värdepyramid för bedömning av skog med höga naturvärden. Minskningstakten har uppgått till 30 % under de senaste 50 åren och överstiger gränsvärdet för Sårbar (VU) (SLU Artdatabanken, 2024; Nitare &amp; Skogsstyrelsen, 2019).</w:t>
      </w:r>
    </w:p>
    <w:p>
      <w:r>
        <w:rPr>
          <w:b/>
        </w:rPr>
        <w:t>Olivspindling</w:t>
      </w:r>
      <w:r>
        <w:t xml:space="preserve"> växer uteslutande på näringsrik och kalkhaltig skogsmark där den huvudsakligen bildar mykorrhiza med gran och tall. Svampen är en typisk representant för kalkgranskogens särpräglade och rika svampflora. Kalavverkning är ett hot mot arten, eftersom den sannolikt kräver lång kontinuitet av äldre träd. Populationerna i landet bedöms därför minska beroende på slutavverkning av äldre barrskog på kalkhaltig mark (SLU Artdatabanken, 2024; Nitare &amp; Skogsstyrelsen, 2019).</w:t>
      </w:r>
    </w:p>
    <w:p>
      <w:r>
        <w:rPr>
          <w:b/>
        </w:rPr>
        <w:t>Violettfläckig spindling (VU)</w:t>
      </w:r>
      <w:r>
        <w:t xml:space="preserve"> bildar mykorrhiza med gran och tall i äldre kalkbarrskogar på torr, örtrik mark. Minskningstakten uppgår till 30 % inom 50 år och överstiger gränsvärdet för Sårbar (VU). Artens ekologiska krav med fynd enbart i äldre, örtrika kalkbarrskogar med kontinuitet, miljöer som idag ofta är starkt hotade av slutavverkningar, gör den mycket sårbar. Alla kända lokaler har ett högt skyddsvärde och kalkbarrskogar med höga naturvärden bör få områdesskydd med individuellt anpassade skötselråd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