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14450-2023 i Gotlands kommun</w:t>
      </w:r>
    </w:p>
    <w:p>
      <w:r>
        <w:t>Detta dokument behandlar höga naturvärden i avverkningsanmälan A 14450-2023 i Gotlands kommun. Denna avverkningsanmälan inkom 2023-03-27 00:00:00 och omfattar 11,6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36 naturvårdsarter hittats: bullspindling (VU), duvspindling (VU), granrotsspindling (VU), gulsträngad fagerspindling (VU), pluggtrattskivling (VU), svartgrön spindling (VU), vit taggsvamp (VU), backtimjan (NT), bittermusseron (NT), denisespindling (NT), dårgräsfjäril (NT, §4a), flattoppad klubbsvamp (NT), jordtistel (NT), mjölsvärting (NT), odörspindling (NT), svart taggsvamp (NT), svinrot (NT), trollspindling (DD), anisspindling (S), blå slemspindling (S), diskvaxskivling (S), fjällig taggsvamp s.str. (S), fransig jordstjärna (S), kastanjefjällskivling (S), kattfotslav (S), mindre märgborre (S), murgröna (S), nästrot (S, §8), olivspindling (S), rödfläckig zontaggsvamp (S), rödgul trumpetsvamp (S), ullmusseron (S), vågbandad barkbock (S), sankt pers nycklar (§8), blåsippa (§9) och gullviva (§9).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2244"/>
            <wp:docPr id="1" name="Picture 1"/>
            <wp:cNvGraphicFramePr>
              <a:graphicFrameLocks noChangeAspect="1"/>
            </wp:cNvGraphicFramePr>
            <a:graphic>
              <a:graphicData uri="http://schemas.openxmlformats.org/drawingml/2006/picture">
                <pic:pic>
                  <pic:nvPicPr>
                    <pic:cNvPr id="0" name="A 14450-2023 karta.png"/>
                    <pic:cNvPicPr/>
                  </pic:nvPicPr>
                  <pic:blipFill>
                    <a:blip r:embed="rId16"/>
                    <a:stretch>
                      <a:fillRect/>
                    </a:stretch>
                  </pic:blipFill>
                  <pic:spPr>
                    <a:xfrm>
                      <a:off x="0" y="0"/>
                      <a:ext cx="5486400" cy="49722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6359099, E 693084 i SWEREF 99 TM.</w:t>
      </w:r>
    </w:p>
    <w:p>
      <w:r>
        <w:rPr>
          <w:b/>
        </w:rPr>
        <w:t>Bittermusseron (NT)</w:t>
      </w:r>
      <w:r>
        <w:t xml:space="preserve"> är en kalkgynnad och värmeälskande förnasvamp som påträffas i äldre kalkbarrskogar, gärna på relativt torr mark. Virkesrika, äldre barrskogar med hög bonitet, på bättre jordar är en bristvara i befintliga, skyddade områden i Sverige. Därför måste fler örtrika barrskogar, särskilt de med trädkontinuitet, skyddas i större utsträckning än vad som tidigare gjorts. Uttag av skog ska helst göras genom plockhuggning, blädning eller andra alternativa, skonsamma avverkningsformer (SLU Artdatabanken, 2024; Nitare &amp; Skogsstyrelsen, 2019).</w:t>
      </w:r>
    </w:p>
    <w:p>
      <w:r>
        <w:rPr>
          <w:b/>
        </w:rPr>
        <w:t>Bullspindling (VU)</w:t>
      </w:r>
      <w:r>
        <w:t xml:space="preserve"> är en kräsen och mycket bra signalart för skyddsvärda äldre granskogar på kalkrik mark. Den är placerad högst upp i Skogsstyrelsens värdepyramid för bedömning av skog med höga naturvärden och skogsbruk, främst kalavverkning utgör ett stort hot mot arten. Artens minskningstakt uppgår till 30 % inom 50 år och överstiger gränsvärdet för Sårbar (VU) (SLU Artdatabanken, 2024; Nitare &amp; Skogsstyrelsen, 2019).</w:t>
      </w:r>
    </w:p>
    <w:p>
      <w:r>
        <w:rPr>
          <w:b/>
        </w:rPr>
        <w:t>Denisespindling (NT)</w:t>
      </w:r>
      <w:r>
        <w:t xml:space="preserve"> bildar mykorrhiza med tall och gran i kalktallskog och ängsgranskog på kalkrik mark. Artens koppling till produktiva äldre granskogar med hög bonitet gör den särskilt utsatt för slutavverkning. Kalkbarrskogar med höga naturvärden bör undantas från rationellt skogsbruk och få områdesskydd med anpassade skötselråd (SLU Artdatabanken, 2024).</w:t>
      </w:r>
    </w:p>
    <w:p>
      <w:r>
        <w:rPr>
          <w:b/>
        </w:rPr>
        <w:t>Duvspindling (VU)</w:t>
      </w:r>
      <w:r>
        <w:t xml:space="preserve"> bildar mykorrhiza med tall och förmodligen även gran i torr, kalkrik barrskog. Arten är placerad högst upp i Skogsstyrelsens värdepyramid för bedömning av skog med höga naturvärden och utgör en mycket bra indikator på skyddsvärd kalktallskog av sydöstlig typ. Kalavverkning, markberedning och markavvattning utgör de främsta hoten (SLU Artdatabanken, 2024; Nitare &amp; Skogsstyrelsen, 2019).</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 xml:space="preserve">Granrotsspindling (VU) </w:t>
      </w:r>
      <w:r>
        <w:t>bildar mykorrhiza med gran. Växer i djup barrförna, gärna i gamla myrstackar, i medelålders till äldre ängsgranskog på kalkrik mark.</w:t>
      </w:r>
      <w:r>
        <w:rPr>
          <w:b/>
        </w:rPr>
        <w:t xml:space="preserve"> </w:t>
      </w:r>
      <w:r>
        <w:t>Minskningstakten uppgår till 30 % inom 50 år och överstiger gränsvärdet för Sårbar (VU) enligt A-kriteriet. (A2c+3c+4c). Arten missgynnas av avverkning och markberedning. Generellt bör lokaler som är särskilt rika på förekomster av sällsynta svampar säkerställas och lämnas för fri utveckling (SLU Artdatabanken, 2024).</w:t>
      </w:r>
    </w:p>
    <w:p>
      <w:r>
        <w:rPr>
          <w:b/>
        </w:rPr>
        <w:t>Gulsträngad fagerspindling (VU)</w:t>
      </w:r>
      <w:r>
        <w:t>, som bildar mykorrhiza med tall och gran i luckig kalkbarrskog, har sin huvudsakliga utbredning på Gotland samt enstaka fynd på norra Öland. Arten är placerad högst upp i Skogsstyrelsens värdepyramid för bedömning av skog med höga naturvärden och hotas av slutavverkningar av äldre kontinuitetsbarrskog. Lokaler med arten måste skyddas från avverkning och kalkbrytning. Gulsträngad fagerspindling är globalt rödlistad som sårbar (VU) vilket innebär att Sverige har ett internationellt ansvar för arten (SLU Artdatabanken, 2024; Nitare &amp; Skogsstyrelsen, 2019; IUCN, 2019).</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Mjölsvärting (NT)</w:t>
      </w:r>
      <w:r>
        <w:t xml:space="preserve"> växer i luckig barrskog, huvudsakligen på tallhed och i äldre skog. Mager, äldre tallskog och barrblandskog med lång trädkontinuitet bör undantas från trakthyggesbruk. Mjölsvärtingens lokaler är ofta nyckelbiotoper och bör då sparas i sin helhet (SLU Artdatabanken, 2024).</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Pluggtrattskivling (VU)</w:t>
      </w:r>
      <w:r>
        <w:t>, rödlistad som sårbar,</w:t>
      </w:r>
      <w:r>
        <w:rPr>
          <w:b/>
        </w:rPr>
        <w:t xml:space="preserve"> </w:t>
      </w:r>
      <w:r>
        <w:t>är en stor, kraftig och uppmärksammad svamp som uppenbart är mycket ovanlig. Den växer i förna under barrträd i gammal barrskog, helst ängsgranskog på kalkrik mark. Skogsbruk, särskilt slutavverkning, inverkar negativt på arten. Den är troligen också känslig för gallring och markberedning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Svartgrön spindling (VU)</w:t>
      </w:r>
      <w:r>
        <w:t>, som bildar mykorrhiza med gran och tall i ängsgranskog och barrblandskog på kalkrik mark, har i Sverige sin huvudsakliga utbredning på Gotland. Arten är placerad högst upp i Skogsstyrelsens värdepyramid för bedömning av skog med höga naturvärden och den missgynnas av intensivt skogsbruk och kalavverkningar. Svartgrön spindling är globalt rödlistad som nära hotad (NT) vilket innebär att Sverige har ett internationellt ansvar för arten (SLU Artdatabanken, 2024; Nitare &amp; Skogsstyrelsen, 2019; IUCN,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Vit taggsvamp (VU) </w:t>
      </w:r>
      <w:r>
        <w:t>bildar mykorrhiza med gran och tall i äldre ängsgranskog och hällmarksbarrskog på kalkrik mark. Kända aktuella lokaler finns endast på Gotland. Det främsta hotet mot arten är avverkning av dess värdträd gran och tall och kända lokaler bör undantas från avverkning för att säkra att dessa hålls intakta (SLU Artdatabanken, 2024).</w:t>
      </w:r>
    </w:p>
    <w:p>
      <w:pPr>
        <w:pStyle w:val="Heading1"/>
      </w:pPr>
      <w:r>
        <w:t>Fridlysta arter</w:t>
      </w:r>
    </w:p>
    <w:p>
      <w:r>
        <w:t>Följande fridlysta arter har sina livsmiljöer och växtplatser i den avverkningsanmälda skogen: dårgräsfjäril (NT, §4a), nästrot (S, §8), sankt pers nycklar (§8), blåsippa (§9) och gullviva (§9).</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