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14450-2023 i Gotlands kommun</w:t>
      </w:r>
    </w:p>
    <w:p>
      <w:r>
        <w:t>Detta dokument behandlar höga naturvärden i avverkningsanmälan A 14450-2023 i Gotlands kommun. Denna avverkningsanmälan inkom 2023-03-27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36 naturvårdsarter hittats: bullspindling (VU), duvspindling (VU), granrotsspindling (VU), gulsträngad fagerspindling (VU), pluggtrattskivling (VU), svartgrön spindling (VU), vit taggsvamp (VU), backtimjan (NT), bittermusseron (NT), denisespindling (NT), dårgräsfjäril (NT, §4a), flattoppad klubbsvamp (NT), jordtistel (NT), mjölsvärting (NT), odörspindling (NT), svart taggsvamp (NT), svinrot (NT), trollspindling (DD), anisspindling (S), blå slemspindling (S), diskvaxskivling (S), fjällig taggsvamp s.str. (S), fransig jordstjärna (S), kastanjefjällskivling (S), kattfotslav (S), mindre märgborre (S), murgröna (S), nästrot (S, §8), olivspindling (S), rödfläckig zontaggsvamp (S), rödgul trumpetsvamp (S), ullmusseron (S), vågbandad barkbock (S), sankt pers nycklar (§8), blåsippa (§9) och gullviva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14450-2023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6359099, E 693084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Pluggtrattskivling (VU)</w:t>
      </w:r>
      <w:r>
        <w:t>, rödlistad som sårbar,</w:t>
      </w:r>
      <w:r>
        <w:rPr>
          <w:b/>
        </w:rPr>
        <w:t xml:space="preserve"> </w:t>
      </w:r>
      <w:r>
        <w:t>är en stor, kraftig och uppmärksammad svamp som uppenbart är mycket ovanlig. Den växer i förna under barrträd i gammal barrskog, helst ängsgranskog på kalkrik mark. Skogsbruk, särskilt slutavverkning, inverkar negativt på arten. Den är troligen också känslig för gallring och markberedning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dårgräsfjäril (NT, §4a), nästrot (S, §8), sankt pers nycklar (§8), blåsippa (§9) och gullviva (§9).</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