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25205-2021 i Gotlands kommun</w:t>
      </w:r>
    </w:p>
    <w:p>
      <w:r>
        <w:t>Detta dokument behandlar höga naturvärden i avverkningsanmälan A 25205-2021 i Gotlands kommun. Denna avverkningsanmälan inkom 2021-05-26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ädellav (EN), mörk kraterlav (VU), hasselticka (S), lönnlav (S), rikfruktig blemlav (S) och slät lönnlav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25205-2021 karta.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6395472, E 714167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Mörk kraterlav (VU)</w:t>
      </w:r>
      <w:r>
        <w:t xml:space="preserve"> växer på grov bark av ädellövträd som bok, alm, ask, lönn och ek. Miljöerna varierar från slutna bokskogar och andra ädellövskogar till öppna lövängar, alléer och parkmiljöer. Arten påträffas ofta vid basen av träden, men den förekommer inte sällan även en bit upp på stammen. Miljöerna har lång kontinuitet på gamla träd och tillsammans med mörk kraterlav förekommer ofta andra rödlistade lavar (SLU Artdatabanken, 2024).</w:t>
      </w:r>
    </w:p>
    <w:p>
      <w:r>
        <w:rPr>
          <w:b/>
        </w:rPr>
        <w:t xml:space="preserve">Ädellav (EN) </w:t>
      </w:r>
      <w:r>
        <w:t>är en starkt hotad lav som förekommer i kulturmiljöer som lövängar och ädellövträdsdungar på inägomark, skogsmiljöer som ädellövskog samt blandskogar med asp och gran. Luftfuktigheten är alltid hög. Arten är placerad högst upp i Skogsstyrelsens värdepyramid för bedömning av skog med höga naturvärden och lokaler bör skyddas mot slutavverkning och dikning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