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30236-2025 i Gotlands kommun</w:t>
      </w:r>
    </w:p>
    <w:p>
      <w:r>
        <w:t>Detta dokument behandlar höga naturvärden i avverkningsanmälan A 30236-2025 i Gotlands kommun. Denna avverkningsanmälan inkom 2025-06-19 00:00:00 och omfattar 13,6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30 naturvårdsarter hittats: bullspindling (VU), duvspindling (VU), granrotsspindling (VU), gulsträngad fagerspindling (VU), läderdoftande fingersvamp (VU), sotbandad spindling (VU), svartgrön spindling (VU), vit taggsvamp (VU), denisespindling (NT), jordtistel (NT), odörspindling (NT), reliktbock (NT), spillkråka (NT, §4), svinrot (NT), anisspindling (S), blå slemspindling (S), blåmossa (S), Geastrum (S), grönpyrola (S), kantjordstjärna (S), nästrot (S, §8), olivspindling (S), purpurknipprot (S, §8), rödfläckig zontaggsvamp (S), tvåblad (S, §8), vit skogslilja (S, §8), zontaggsvamp (S), grönvit nattviol (§8), nattviol (§8) och sankt pers nycklar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9822"/>
            <wp:docPr id="1" name="Picture 1"/>
            <wp:cNvGraphicFramePr>
              <a:graphicFrameLocks noChangeAspect="1"/>
            </wp:cNvGraphicFramePr>
            <a:graphic>
              <a:graphicData uri="http://schemas.openxmlformats.org/drawingml/2006/picture">
                <pic:pic>
                  <pic:nvPicPr>
                    <pic:cNvPr id="0" name="A 30236-2025 karta.png"/>
                    <pic:cNvPicPr/>
                  </pic:nvPicPr>
                  <pic:blipFill>
                    <a:blip r:embed="rId16"/>
                    <a:stretch>
                      <a:fillRect/>
                    </a:stretch>
                  </pic:blipFill>
                  <pic:spPr>
                    <a:xfrm>
                      <a:off x="0" y="0"/>
                      <a:ext cx="5486400" cy="4029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6385159, E 725605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Sotbandad spindling (VU)</w:t>
      </w:r>
      <w:r>
        <w:t xml:space="preserve"> påträffas i äldre barrskog, bl.a. ängsgranskog på torr och kalkrik mark och bildar mykorrhiza med gran, men troligen även med andra träd. Den är placerad högst upp i Skogsstyrelsens värdepyramid för bedömning av skog med höga naturvärden och tål inte kalavverkning eller andra mer radikala ingrepp i växtplatsernas miljö. Kända växtplatser bör tills vidare undantas från skogsbruk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Fridlysta arter</w:t>
      </w:r>
    </w:p>
    <w:p>
      <w:r>
        <w:t>Följande fridlysta arter har sina livsmiljöer och växtplatser i den avverkningsanmälda skogen: spillkråka (NT, §4), nästrot (S, §8), purpurknipprot (S, §8), tvåblad (S, §8), vit skogslilja (S, §8), grönvit nattviol (§8), nattviol (§8) och sankt pers 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