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33728-2025 i Gotlands kommun</w:t>
      </w:r>
    </w:p>
    <w:p>
      <w:r>
        <w:t>Detta dokument behandlar höga naturvärden i avverkningsanmälan A 33728-2025 i Gotlands kommun. Denna avverkningsanmälan inkom 2025-07-04 07:02:34 och omfattar 9,5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34 naturvårdsarter hittats: ask (EN), sienamusseron (EN), gotlandsmåra (VU), granrotsspindling (VU), läderdoftande fingersvamp (VU), mörkfjällig olivspindling (VU), narrspindling (VU), rostspindling (VU), svartgrön spindling (VU), violettfläckig spindling (VU), axveronika (NT), backtimjan (NT), barrviolspindling (NT), bittermusseron (NT), duvhök (NT, §4), flattoppad klubbsvamp (NT), jordtistel (NT), kungsspindling (NT), odörspindling (NT), svartfläckig blåvinge (NT, §4a), svinrot (NT), blomkålssvamp (S), fjällig taggsvamp s.str. (S), kalktallört (S), kryddspindling (S), olivspindling (S), rödfläckig zontaggsvamp (S), rökmusseron (S), skarp dropptaggsvamp (S), skogsknipprot (S, §8), strimspindling (S), svavelriska (S), tjockfotad fingersvamp (S) och trådticka (S). Av dessa är 21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3391"/>
            <wp:docPr id="1" name="Picture 1"/>
            <wp:cNvGraphicFramePr>
              <a:graphicFrameLocks noChangeAspect="1"/>
            </wp:cNvGraphicFramePr>
            <a:graphic>
              <a:graphicData uri="http://schemas.openxmlformats.org/drawingml/2006/picture">
                <pic:pic>
                  <pic:nvPicPr>
                    <pic:cNvPr id="0" name="A 33728-2025 karta.png"/>
                    <pic:cNvPicPr/>
                  </pic:nvPicPr>
                  <pic:blipFill>
                    <a:blip r:embed="rId16"/>
                    <a:stretch>
                      <a:fillRect/>
                    </a:stretch>
                  </pic:blipFill>
                  <pic:spPr>
                    <a:xfrm>
                      <a:off x="0" y="0"/>
                      <a:ext cx="5486400" cy="4823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6396776, E 705397 i SWEREF 99 TM.</w:t>
      </w:r>
    </w:p>
    <w:p>
      <w:r>
        <w:rPr>
          <w:b/>
        </w:rPr>
        <w:t>Barrviolspindling (NT)</w:t>
      </w:r>
      <w:r>
        <w:t xml:space="preserve"> bildar mykorrhiza med gran, huvudsakligen i örtrika kalkpåverkade äldre granskogar. Arten är sannolikt uttorkningskänslig och knuten till granskogar med långvarig grankontinuitet. Den hotas främst av skogsavverkning och tycks försvinna efter slutavverkning, markberedning och plantering. Minskningstakten uppgår till 15 % inom 50 år och bedöms vara nära gränsvärdet för Sårbar (VU). (A2c+3c+4c) (SLU Artdatabanken, 2024; Nitare &amp; Skogsstyrelsen, 2019).</w:t>
      </w:r>
    </w:p>
    <w:p>
      <w:r>
        <w:rPr>
          <w:b/>
        </w:rPr>
        <w:t>Bittermusseron (NT)</w:t>
      </w:r>
      <w:r>
        <w:t xml:space="preserve"> är en kalkgynnad och värmeälskande förnasvamp som påträffas i äldre kalkbarrskogar, gärna på relativt torr mark. Virkesrika, äldre barrskogar med hög bonitet, på bättre jordar är en bristvara i befintliga, skyddade områden i Sverige. Därför måste fler örtrika barrskogar, särskilt de med trädkontinuitet, skyddas i större utsträckning än vad som tidigare gjorts. Uttag av skog ska helst göras genom plockhuggning, blädning eller andra alternativa, skonsamma avverkningsformer (SLU Artdatabanken, 2024; Nitare &amp; Skogsstyrelsen, 2019).</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 xml:space="preserve">Granrotsspindling (VU) </w:t>
      </w:r>
      <w:r>
        <w:t>bildar mykorrhiza med gran. Växer i djup barrförna, gärna i gamla myrstackar, i medelålders till äldre ängsgranskog på kalkrik mark.</w:t>
      </w:r>
      <w:r>
        <w:rPr>
          <w:b/>
        </w:rPr>
        <w:t xml:space="preserve"> </w:t>
      </w:r>
      <w:r>
        <w:t>Minskningstakten uppgår till 30 % inom 50 år och överstiger gränsvärdet för Sårbar (VU) enligt A-kriteriet. (A2c+3c+4c). Arten missgynnas av avverkning och markberedning. Generellt bör lokaler som är särskilt rika på förekomster av sällsynta svampar säkerställas och lämnas för fri utveckling (SLU Artdatabanken, 2024).</w:t>
      </w:r>
    </w:p>
    <w:p>
      <w:r>
        <w:rPr>
          <w:b/>
        </w:rPr>
        <w:t>Kungsspindling (NT)</w:t>
      </w:r>
      <w:r>
        <w:t xml:space="preserve"> växer på näringsrikare, helst kalkhaltig mark, nästan alltid i barrskog, där den bildar mykorrhiza med gran och tall, mera sällan insprängd hassel. Förekommer sällsynt även i rik lövskog. Minskningstakten uppgår till 15 % inom 50 år och bedöms vara nära gränsvärdet för Sårbar (VU). (A2c+3c+4c). Kalavverkningar måste helt undvikas på lokaler med kungsspindling (SLU Artdatabanken, 2024).</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Mörkfjällig olivspindling (VU)</w:t>
      </w:r>
      <w:r>
        <w:t xml:space="preserve"> är en mycket kräsen art som bara förekommer i vissa betespräglade kalktallskogar med långvarig tallkontinuitet samt i exklusiva ädellövskogar på kalk. Arten får betraktas som en ”toppart” som indikerar starkt skyddsvärda skogsområden och den är placerad högst upp i Skogsstyrelsens värdepyramid för bedömning av skog med höga naturvärden. Minskningstakten har uppgått till 30 % under de senaste 50 åren och överstiger gränsvärdet för Sårbar (VU) (SLU Artdatabanken, 2024; Nitare &amp; Skogsstyrelsen, 2019).</w:t>
      </w:r>
    </w:p>
    <w:p>
      <w:r>
        <w:rPr>
          <w:b/>
        </w:rPr>
        <w:t>Narrspindling (VU)</w:t>
      </w:r>
      <w:r>
        <w:t xml:space="preserve"> bildar mykorrhiza med tall på kalkrik mark i luckig kalktallskog. Den är placerad högst upp i Skogsstyrelsens värdepyramid för bedömning av skog med höga naturvärden och är i Norden bara känd från ett fåtal lokaler på Gotland. Arten är mycket sårbar genom sin fåtaliga förekomst och bedöms ha minskat och fortsätter att minska, huvudsakligen p.g.a. slutavverkningar av äldre barrskog (SLU Artdatabanken, 2024; Nitare &amp; Skogsstyrelsen,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Sienamusseron (EN)</w:t>
      </w:r>
      <w:r>
        <w:t xml:space="preserve"> är en mycket sällsynt och starkt hotad art som bildar mykorrhiza med tall i kalkbarrskog, ofta på något sandiga jordar. Det största enskilda hotet mot arten är slutavverkning av de skogsbestånd där den växer. Sienamusseronen omfattas av ett åtgärdsprogram för hotade arter (ÅGP) och är placerad högst upp i Skogsstyrelsens värdepyramid för bedömning av skog med höga naturvärden. Samtliga förekomster kan tolkas som relikter och varje lokal har mycket högt skyddsvärde (SLU Artdatabanken, 2024; Nitare &amp; Skogsstyrelsen, 2019; Johansson &amp; Bohus-Jensen, 2011).</w:t>
      </w:r>
    </w:p>
    <w:p>
      <w:r>
        <w:rPr>
          <w:b/>
        </w:rPr>
        <w:t>Svartgrön spindling (VU)</w:t>
      </w:r>
      <w:r>
        <w:t>, som bildar mykorrhiza med gran och tall i ängsgranskog och barrblandskog på kalkrik mark, har i Sverige sin huvudsakliga utbredning på Gotland. Arten är placerad högst upp i Skogsstyrelsens värdepyramid för bedömning av skog med höga naturvärden och den missgynnas av intensivt skogsbruk och kalavverkningar. Svartgrön spindling är globalt rödlistad som nära hotad (NT) vilket innebär att Sverige har ett internationellt ansvar för arten (SLU Artdatabanken, 2024; Nitare &amp; Skogsstyrelsen, 2019; IUCN, 2019).</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r>
        <w:rPr>
          <w:b/>
        </w:rPr>
        <w:t>Violettfläckig spindling (VU)</w:t>
      </w:r>
      <w:r>
        <w:t xml:space="preserve"> bildar mykorrhiza med gran och tall i äldre kalkbarrskogar på torr, örtrik mark. Minskningstakten uppgår till 30 % inom 50 år och överstiger gränsvärdet för Sårbar (VU). Artens ekologiska krav med fynd enbart i äldre, örtrika kalkbarrskogar med kontinuitet, miljöer som idag ofta är starkt hotade av slutavverkningar, gör den mycket sårbar. Alla kända lokaler har ett högt skyddsvärde och kalkbarrskogar med höga naturvärden bör få områdesskydd med individuellt anpassade skötselråd (SLU Artdatabanken, 2024).</w:t>
      </w:r>
    </w:p>
    <w:p>
      <w:pPr>
        <w:pStyle w:val="Heading1"/>
      </w:pPr>
      <w:r>
        <w:t>Fridlysta arter</w:t>
      </w:r>
    </w:p>
    <w:p>
      <w:r>
        <w:t>Följande fridlysta arter har sina livsmiljöer och växtplatser i den avverkningsanmälda skogen: duvhök (NT, §4), svartfläckig blåvinge (NT, §4a) och skogsknipprot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