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35141-2022 i Gotlands kommun</w:t>
      </w:r>
    </w:p>
    <w:p>
      <w:r>
        <w:t>Detta dokument behandlar höga naturvärden i avverkningsanmälan A 35141-2022 i Gotlands kommun. Denna avverkningsanmälan inkom 2022-08-24 12:47:47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dvärgfjällskivling (VU), svartgrön spindling (VU), violettfläckig spindling (VU), bittermusseron (NT), flattoppad klubbsvamp (NT), odörspindling (NT), anisspindling (S), fransig jordstjärna (S), kambräken (S), olivspindling (S), rödgul trumpetsvamp (S), svavelriska (S) och vågbandad barkbock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5141-2022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6362477, E 723657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Dvärgfjällskivling (VU) </w:t>
      </w:r>
      <w:r>
        <w:t>är en nedbrytare i lövförna och andra växtrester i ädellövskog, hässlen, löväng och lund på kalkrik mark. Mycket sällsynt och total population i landet liten och bedöms ha minskat och fortsätta minska, framför allt p.g.a. igenväxning av halvöppna ädellövrika äldre fodermarker med mosaikstruktur. Även avverkning och körskador eller markberedning är konkreta hot på kända växtplatser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