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40235-2025 i Gotlands kommun</w:t>
      </w:r>
    </w:p>
    <w:p>
      <w:r>
        <w:t>Detta dokument behandlar höga naturvärden i avverkningsanmälan A 40235-2025 i Gotlands kommun. Denna avverkningsanmälan inkom 2025-08-25 17:45:41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21 naturvårdsarter hittats: bullspindling (VU), duvspindling (VU), gulsträngad fagerspindling (VU), läderdoftande fingersvamp (VU), sotbandad spindling (VU), svartgrön spindling (VU), backtimjan (NT), denisespindling (NT), flattoppad klubbsvamp (NT), jordtistel (NT), loppstarr (NT), odörspindling (NT), besk kastanjemusseron (S), blå slemspindling (S), dropptaggsvamp (S), kalktallört (S), mindre märgborre (S), olivspindling (S), rödfläckig zontaggsvamp (S), toppvaxing (S) och brudsporre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2810"/>
            <wp:docPr id="1" name="Picture 1"/>
            <wp:cNvGraphicFramePr>
              <a:graphicFrameLocks noChangeAspect="1"/>
            </wp:cNvGraphicFramePr>
            <a:graphic>
              <a:graphicData uri="http://schemas.openxmlformats.org/drawingml/2006/picture">
                <pic:pic>
                  <pic:nvPicPr>
                    <pic:cNvPr id="0" name="A 40235-2025 karta.png"/>
                    <pic:cNvPicPr/>
                  </pic:nvPicPr>
                  <pic:blipFill>
                    <a:blip r:embed="rId16"/>
                    <a:stretch>
                      <a:fillRect/>
                    </a:stretch>
                  </pic:blipFill>
                  <pic:spPr>
                    <a:xfrm>
                      <a:off x="0" y="0"/>
                      <a:ext cx="5486400" cy="4042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6384296, E 723767 i SWEREF 99 TM.</w:t>
      </w:r>
    </w:p>
    <w:p>
      <w:r>
        <w:rPr>
          <w:b/>
        </w:rPr>
        <w:t>Bullspindling (VU)</w:t>
      </w:r>
      <w:r>
        <w:t xml:space="preserve"> är en kräsen och mycket bra signalart för skyddsvärda äldre granskogar på kalkrik mark. Den är placerad högst upp i Skogsstyrelsens värdepyramid för bedömning av skog med höga naturvärden och skogsbruk, främst kalavverkning utgör ett stort hot mot arten. Artens minskningstakt uppgår till 30 % inom 50 år och överstiger gränsvärdet för Sårbar (VU) (SLU Artdatabanken, 2024; Nitare &amp; Skogsstyrelsen, 2019).</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Sotbandad spindling (VU)</w:t>
      </w:r>
      <w:r>
        <w:t xml:space="preserve"> påträffas i äldre barrskog, bl.a. ängsgranskog på torr och kalkrik mark och bildar mykorrhiza med gran, men troligen även med andra träd. Den är placerad högst upp i Skogsstyrelsens värdepyramid för bedömning av skog med höga naturvärden och tål inte kalavverkning eller andra mer radikala ingrepp i växtplatsernas miljö. Kända växtplatser bör tills vidare undantas från skogsbruk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brudsporre (§8).</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