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42607-2025 i Gotlands kommun</w:t>
      </w:r>
    </w:p>
    <w:p>
      <w:r>
        <w:t>Detta dokument behandlar höga naturvärden i avverkningsanmälan A 42607-2025 i Gotlands kommun. Denna avverkningsanmälan inkom 2025-09-05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29 naturvårdsarter hittats: blåbandad spindling (VU), bullspindling (VU), duvspindling (VU), granrotsspindling (VU), gulsträngad fagerspindling (VU), knölfotad bananspindling (VU), läderdoftande fingersvamp (VU), stor granspindling (VU), stor odörspindling (VU), svartgrön spindling (VU), violettfläckig spindling (VU), violgubbe (VU), backtimjan (NT), bittermusseron (NT), denisespindling (NT), odörspindling (NT), spillkråka (NT, §4), ullticka (NT), anisspindling (S), blomkålssvamp (S), blå slemspindling (S), blåmossa (S), brun klibbskivling (S), kattfotslav (S), kryddspindling (S), nästrot (S, §8), olivspindling (S), tjockfotad fingersvamp (S) och nattviol (§8).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42607-2025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6374273, E 717170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Knölfotad bananspindling (VU) </w:t>
      </w:r>
      <w:r>
        <w:t>är en mycket sällsynt svamp som bildar mykorrhiza med hassel i solvarma hässlen, lövängar och ek-/hasselskog i mosaikartade miljöer. Lokaler med knölfotad bananspindling utgör utpräglade så kallade "hotspots" med en lång rad andra sällsynta och hotade arter och bör uppmärksammas av naturvården och vid behov skyddas vilket gäller såväl större sammanhängande lokalområden som enskilda smålokaler. Arten är placerad högst upp i Skogsstyrelsens värdepyramid för bedömning av skog med höga naturvärden och är även globalt rödlistad som sårbar (VU) vilket innebär att Sverige har ett internationellt ansvar för arten (SLU Artdatabanken, 2024; IUCN, 2021;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 nästrot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