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43785-2024 i Gotlands kommun</w:t>
      </w:r>
    </w:p>
    <w:p>
      <w:r>
        <w:t>Detta dokument behandlar höga naturvärden i avverkningsanmälan A 43785-2024 i Gotlands kommun. Denna avverkningsanmälan inkom 2024-10-05 00:00:00 och omfattar 12,6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31 naturvårdsarter hittats: tallharticka (EN), duvspindling (VU), fläckfingersvamp (VU), granrotsspindling (VU), gul lammticka (VU), gulsträngad fagerspindling (VU), svartgrön spindling (VU), violettfläckig spindling (VU), barrviolspindling (NT), denisespindling (NT), flattoppad klubbsvamp (NT), jordtistel (NT), odörspindling (NT), spillkråka (NT, §4), äggspindling (NT), anisspindling (S), besk kastanjemusseron (S), blå slemspindling (S), fjällig taggsvamp s.str. (S), fransig jordstjärna (S), gulgrön kantmusseron (S), kryddspindling (S), mindre märgborre (S), olivspindling (S), rödfläckig zontaggsvamp (S), skarp dropptaggsvamp (S), strimspindling (S), svavelriska (S), sårläka (S), tjockfotad fingersvamp (S) och nattviol (§8).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7795"/>
            <wp:docPr id="1" name="Picture 1"/>
            <wp:cNvGraphicFramePr>
              <a:graphicFrameLocks noChangeAspect="1"/>
            </wp:cNvGraphicFramePr>
            <a:graphic>
              <a:graphicData uri="http://schemas.openxmlformats.org/drawingml/2006/picture">
                <pic:pic>
                  <pic:nvPicPr>
                    <pic:cNvPr id="0" name="A 43785-2024 karta.png"/>
                    <pic:cNvPicPr/>
                  </pic:nvPicPr>
                  <pic:blipFill>
                    <a:blip r:embed="rId16"/>
                    <a:stretch>
                      <a:fillRect/>
                    </a:stretch>
                  </pic:blipFill>
                  <pic:spPr>
                    <a:xfrm>
                      <a:off x="0" y="0"/>
                      <a:ext cx="5486400" cy="39777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6373256, E 717291 i SWEREF 99 TM.</w:t>
      </w:r>
    </w:p>
    <w:p>
      <w:r>
        <w:rPr>
          <w:b/>
        </w:rPr>
        <w:t>Barrviolspindling (NT)</w:t>
      </w:r>
      <w:r>
        <w:t xml:space="preserve"> bildar mykorrhiza med gran, huvudsakligen i örtrika kalkpåverkade äldre granskogar. Arten är sannolikt uttorkningskänslig och knuten till granskogar med långvarig grankontinuitet. Den hotas främst av skogsavverkning och tycks försvinna efter slutavverkning, markberedning och plantering. Minskningstakten uppgår till 15 % inom 50 år och bedöms vara nära gränsvärdet för Sårbar (VU). (A2c+3c+4c) (SLU Artdatabanken, 2024; Nitare &amp; Skogsstyrelsen, 2019).</w:t>
      </w:r>
    </w:p>
    <w:p>
      <w:r>
        <w:rPr>
          <w:b/>
        </w:rPr>
        <w:t>Denisespindling (NT)</w:t>
      </w:r>
      <w:r>
        <w:t xml:space="preserve"> bildar mykorrhiza med tall och gran i kalktallskog och ängsgranskog på kalkrik mark. Artens koppling till produktiva äldre granskogar med hög bonitet gör den särskilt utsatt för slutavverkning. Kalkbarrskogar med höga naturvärden bör undantas från rationellt skogsbruk och få områdesskydd med anpassade skötselråd (SLU Artdatabanken, 2024).</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 xml:space="preserve">Fläckfingersvamp (VU) </w:t>
      </w:r>
      <w:r>
        <w:t>är en sällsynt ”toppart” som bildar mykorrhiza med dels bok i äldre bokskog, dels med gran i barrskog på näringsrik-kalkrik mark, sällsynt även med ek i ädellövskog. Svampen har en egenartad, ljust svavelgröngul färg som är svår att återge. På foten och i gamla skador får svampen karaktäristiska vinröda fläckar och är därför lätt att känna igen. All form av skogsavverkning i eller i närheten av växtplatsen missgynnar arten och skogsområden där den förekommer bör skyddas och undantas från rationellt skogsbruk. Fläckfingersvamp är placerad högst upp i Skogsstyrelsens värdepyramid för bedömning av skog med höga naturvärden och dess växtplatser utgör ofta s.k. ”hotspots” för ett stort antal rödlistade svampar (SLU Artdatabanken, 2024;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Tallharticka (EN)</w:t>
      </w:r>
      <w:r>
        <w:t xml:space="preserve"> är knuten till gamla tallar i solvarma lägen, ofta på rikare mark med inslag av kalk eller grönsten. Den är placerad högst upp i Skogsstyrelsens värdepyramid för bedömning av skog med höga naturvärden och visar på starkt skyddsvärda gamla eller mycket gamla tallbestånd med höga naturvärden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spillkråka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