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45536-2025 i Gotlands kommun</w:t>
      </w:r>
    </w:p>
    <w:p>
      <w:r>
        <w:t>Detta dokument behandlar höga naturvärden i avverkningsanmälan A 45536-2025 i Gotlands kommun. Denna avverkningsanmälan inkom 2025-09-22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26 naturvårdsarter hittats: slät taggsvamp (EN), granrotsspindling (VU), gulsträngad fagerspindling (VU), läderdoftande fingersvamp (VU), narrspindling (VU), sotbandad spindling (VU), svartgrön spindling (VU), violettfläckig spindling (VU), violettrandad spindling (VU), backtimjan (NT), odörspindling (NT), spillkråka (NT, §4), grynspindling (DD), anisspindling (S), blå slemspindling (S), blåmossa (S), fjällig taggsvamp s.str. (S), fransig jordstjärna (S), kryddspindling (S), mindre märgborre (S), nästrot (S, §8), olivspindling (S), skarp dropptaggsvamp (S), sårläka (S), tjockfotad fingersvamp (S) och huggorm (§6).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45536-2025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6373990, E 719213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Slät taggsvamp (EN) </w:t>
      </w:r>
      <w:r>
        <w:t>är en starkt hotad ”toppart” knuten till gammal tall på kalkrik mark. Den ingår i ett åtgärdsprogram för hotade arter (ÅGP) och är placerad högst upp i Skogsstyrelsens värdepyramid för bedömning av skog med höga naturvärden. Den totala populationen i landet är liten och bedöms ha minskat kraftigt, huvudsakligen p.g.a. slutavverkning av äldre kalkbarrskogar. Slät taggsvamp är globalt rödlistad som nära hotad (NT) vilket innebär att Sverige har ett internationellt ansvar för arten (SLU Artdatabanken, 2024; Nitare &amp; Skogsstyrelsen, 2019; IUCN, 2019).</w:t>
      </w:r>
    </w:p>
    <w:p>
      <w:r>
        <w:rPr>
          <w:b/>
        </w:rPr>
        <w:t>Sotbandad spindling (VU)</w:t>
      </w:r>
      <w:r>
        <w:t xml:space="preserve"> påträffas i äldre barrskog, bl.a. ängsgranskog på torr och kalkrik mark och bildar mykorrhiza med gran, men troligen även med andra träd. Den är placerad högst upp i Skogsstyrelsens värdepyramid för bedömning av skog med höga naturvärden och tål inte kalavverkning eller andra mer radikala ingrepp i växtplatsernas miljö. Kända växtplatser bör tills vidare undantas från skogsbruk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Violettrandad spindling (VU)</w:t>
      </w:r>
      <w:r>
        <w:t xml:space="preserve"> är en sällsynt barrskogsart som bildar mykorrhiza med tall, i kalktallskog och lavtallskog på kalkrik mark. Intensivt skogsbruk med kalavverkning, markberedning etc. minskar artens möjligheter att överleva och dess minskningstakt uppgår till 30 % inom 50 år och överstiger gränsvärdet för Sårbar (VU). Violettrandad spindling är placerad högst upp i Skogsstyrelsens värdepyramid för bedömning av skog med höga naturvärden och på artens kända växtplatser bör avverkning undvikas (SLU Artdatabanken, 2024; Nitare &amp; Skogsstyrelsen, 2019).</w:t>
      </w:r>
    </w:p>
    <w:p>
      <w:pPr>
        <w:pStyle w:val="Heading1"/>
      </w:pPr>
      <w:r>
        <w:t>Fridlysta arter</w:t>
      </w:r>
    </w:p>
    <w:p>
      <w:r>
        <w:t>Följande fridlysta arter har sina livsmiljöer och växtplatser i den avverkningsanmälda skogen: spillkråka (NT, §4), nästrot (S, §8)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