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4716-2024 i Gotlands kommun</w:t>
      </w:r>
    </w:p>
    <w:p>
      <w:r>
        <w:t>Detta dokument behandlar höga naturvärden i avverkningsanmälan A 4716-2024 i Gotlands kommun. Denna avverkningsanmälan inkom 2024-02-06 00:00:00 och omfattar 8,0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47 naturvårdsarter hittats: blek bananspindling (EN), droppskivling (EN), blyspindling agg. (VU), bullspindling (VU), duvspindling (VU), dvärgfjällskivling (VU), gulsträngad fagerspindling (VU), mörkfjällig olivspindling (VU), narrspindling (VU), praktspindling (VU), sammetsbockrot (VU), svartgrön spindling (VU), tallvaxskivling (VU), tvillingspindling (VU), violettfläckig spindling (VU), violettrandad spindling (VU), vit taggsvamp (VU), backtimjan (NT), blekspindling agg. (NT), bredbrämad bastardsvärmare (NT), denisespindling (NT), flattoppad klubbsvamp (NT), gulsparv (NT, §4), jordtistel (NT), odörspindling (NT), sandkremla (NT), slåtterfibbla (NT), svart taggsvamp (NT), pärlchampinjon (DD), anisspindling (S), besk kastanjemusseron (S), diskvaxskivling (S), kastanjefjällskivling (S), kryddspindling (S), murgröna (S), olivspindling (S), purpurknipprot (S, §8), rödgul trumpetsvamp (S), skogsknipprot (S, §8), strimspindling (S), grönsiska (§4), skogsduva (§4), brudsporre (§8), grönvit nattviol (§8), johannesnycklar (§8), nattviol (§8) och blåsippa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7526"/>
            <wp:docPr id="1" name="Picture 1"/>
            <wp:cNvGraphicFramePr>
              <a:graphicFrameLocks noChangeAspect="1"/>
            </wp:cNvGraphicFramePr>
            <a:graphic>
              <a:graphicData uri="http://schemas.openxmlformats.org/drawingml/2006/picture">
                <pic:pic>
                  <pic:nvPicPr>
                    <pic:cNvPr id="0" name="A 4716-2024 karta.png"/>
                    <pic:cNvPicPr/>
                  </pic:nvPicPr>
                  <pic:blipFill>
                    <a:blip r:embed="rId16"/>
                    <a:stretch>
                      <a:fillRect/>
                    </a:stretch>
                  </pic:blipFill>
                  <pic:spPr>
                    <a:xfrm>
                      <a:off x="0" y="0"/>
                      <a:ext cx="5486400" cy="32875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6358315, E 692988 i SWEREF 99 TM.</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Dvärgfjällskivling (VU) </w:t>
      </w:r>
      <w:r>
        <w:t>är en nedbrytare i lövförna och andra växtrester i ädellövskog, hässlen, löväng och lund på kalkrik mark. Mycket sällsynt och total population i landet liten och bedöms ha minskat och fortsätta minska, framför allt p.g.a. igenväxning av halvöppna ädellövrika äldre fodermarker med mosaikstruktur. Även avverkning och körskador eller markberedning är konkreta hot på kända växtplatser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Mörkfjällig olivspindling (VU)</w:t>
      </w:r>
      <w:r>
        <w:t xml:space="preserve"> är en mycket kräsen art som bara förekommer i vissa betespräglade kalktallskogar med långvarig tallkontinuitet samt i exklusiva ädellövskogar på kalk. Arten får betraktas som en ”toppart” som indikerar starkt skyddsvärda skogsområden och den är placerad högst upp i Skogsstyrelsens värdepyramid för bedömning av skog med höga naturvärden. Minskningstakten har uppgått till 30 % under de senaste 50 åren och överstiger gränsvärdet för Sårbar (VU)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Praktspindling (VU) </w:t>
      </w:r>
      <w:r>
        <w:t>bildar mykorrhiza med ek, avenbok och hassel och påträffas i hässlen, ädellövskog och löväng, på torr och kalkrik mark. Avverkning av lövskog eller annan förändring av miljön på växtplatserna kan spoliera artens förekomst och oskyddade lokaler kan behöva säkerställas för att undgå förstörelse. För att öka artens möjligheter att överleva i landet bör fler och större arealer av lövskog skyddas. Praktspindling är placerad högst upp i Skogsstyrelsens värdepyramid för bedömning av skog med höga naturvärden och är även globalt rödlistad som nära hotad (NT) vilket innebär att Sverige har ett internationellt ansvar för arten (SLU Artdatabanken, 2024; IUCN, 2019;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Tallvaxskivling (VU)</w:t>
      </w:r>
      <w:r>
        <w:t xml:space="preserve"> bildar mykorrhiza med tall i tallskog på kalkrik mark, gärna i lite sluttande lägen med rörligt grundvatten. I Sverige är den endast funnen på Gotland. Lokalerna bör undantas från skogsbruksåtgärder som kan skada arten och skydd bör övervägas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Violettrandad spindling (VU)</w:t>
      </w:r>
      <w:r>
        <w:t xml:space="preserve"> är en sällsynt barrskogsart som bildar mykorrhiza med tall, i kalktallskog och lavtallskog på kalkrik mark. Intensivt skogsbruk med kalavverkning, markberedning etc. minskar artens möjligheter att överleva och dess minskningstakt uppgår till 30 % inom 50 år och överstiger gränsvärdet för Sårbar (VU). Violettrandad spindling är placerad högst upp i Skogsstyrelsens värdepyramid för bedömning av skog med höga naturvärden och på artens kända växtplatser bör avverkning undvikas (SLU Artdatabanken, 2024; Nitare &amp; Skogsstyrelsen, 2019).</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gulsparv (NT, §4), purpurknipprot (S, §8), skogsknipprot (S, §8), grönsiska (§4), skogsduva (§4), brudsporre (§8), grönvit nattviol (§8), johannesnycklar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