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52309-2025 i Gotlands kommun</w:t>
      </w:r>
    </w:p>
    <w:p>
      <w:r>
        <w:t>Detta dokument behandlar höga naturvärden i avverkningsanmälan A 52309-2025 i Gotlands kommun. Denna avverkningsanmälan inkom 2025-10-23 15:27:06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gulsträngad fagerspindling (VU), tvillingspindling (VU), odörspindling (NT) och blå slemspindling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1098"/>
            <wp:docPr id="1" name="Picture 1"/>
            <wp:cNvGraphicFramePr>
              <a:graphicFrameLocks noChangeAspect="1"/>
            </wp:cNvGraphicFramePr>
            <a:graphic>
              <a:graphicData uri="http://schemas.openxmlformats.org/drawingml/2006/picture">
                <pic:pic>
                  <pic:nvPicPr>
                    <pic:cNvPr id="0" name="A 52309-2025 karta.png"/>
                    <pic:cNvPicPr/>
                  </pic:nvPicPr>
                  <pic:blipFill>
                    <a:blip r:embed="rId16"/>
                    <a:stretch>
                      <a:fillRect/>
                    </a:stretch>
                  </pic:blipFill>
                  <pic:spPr>
                    <a:xfrm>
                      <a:off x="0" y="0"/>
                      <a:ext cx="5486400" cy="38810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6415721, E 738077 i SWEREF 99 TM.</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Tvillingspindling (VU)</w:t>
      </w:r>
      <w:r>
        <w:t xml:space="preserve"> bildar mykorrhiza med gran och växer enbart i örtrika grandominerade kalkbarrskogar med kontinuitet och hög bonitet, miljöer som idag är starkt hotade av slutavverkningar. Tvillingspindlingen liksom en lång rad av dess följearter knutna till kalk- och örtrika barrblandskogar med lång kontinuitet är beroende av områdesskydd eller naturvårdsavtal som förhindrar slutavverkningar av dess växtmiljöer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