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56717-2024 i Gotlands kommun</w:t>
      </w:r>
    </w:p>
    <w:p>
      <w:r>
        <w:t>Detta dokument behandlar höga naturvärden i avverkningsanmälan A 56717-2024 i Gotlands kommun. Denna avverkningsanmälan inkom 2024-12-02 07:35:59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ekvaxskivling (NT), odörspindling (NT), fjällig taggsvamp s.str. (S) och kattfotslav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56717-2024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6391644, E 719399 i SWEREF 99 TM.</w:t>
      </w:r>
    </w:p>
    <w:p>
      <w:r>
        <w:rPr>
          <w:b/>
        </w:rPr>
        <w:t>Ekvaxskivling (NT)</w:t>
      </w:r>
      <w:r>
        <w:t xml:space="preserve"> bildar mykorrhiza med ek i i kalk- och örtrika, helst betespräglad och luckig ekskog, blandskog, lövlund och hagmark. Svampen har en oangenäm lukt, en s.k.”cossus-lukt” som påminner om den hos större träfjäril.  Det främsta hotet är avverkning av artens värdträd och förändringar i dess skogsmiljö. Öppna och luckiga ekskogar och ekhagar där arten förekommer bör bevaras med fortsatt hävd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