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63872-2021 i Gotlands kommun</w:t>
      </w:r>
    </w:p>
    <w:p>
      <w:r>
        <w:t>Detta dokument behandlar höga naturvärden i avverkningsanmälan A 63872-2021 i Gotlands kommun. Denna avverkningsanmälan inkom 2021-11-09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duvspindling (VU), gulsträngad fagerspindling (VU), svartgrön spindling (VU), tallpraktspindling (VU), jordtistel (NT), kristallporing (NT), lundvaxskivling (NT), odörspindling (NT), spillkråka (NT, §4), barrfagerspindling (S), sankt pers 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Lundvaxskivling (NT)</w:t>
      </w:r>
      <w:r>
        <w:t xml:space="preserve"> växer i luckig ek- och ädellövskog samt hagmark och löväng där den på örtrik mark bildar mykorrhiza med ek, ev. även med hassel och bok. Arten kan betraktas som en indikatorart för goda lövbiotoper och lokaler med rik förekomst av denna art har ett högt skyddsvärde och bör bevaras i oförändrat skick. Ekskogar och ädellövskogar med ek skall inte ersättas med annat trädslag och brukning bör ske med stor försiktighet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