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21 naturvårdsarter, varav 12 är rödlistade, 5 är fridlysta, 7 är typiska (T) och 7 är signalarter (S): ask (EN), fågelträcksspindling (VU), granrotspindling (VU), igelkott (VU), knärot (VU, T, §8), svartgrön spindling (VU), vit taggsvamp (VU), backtimjan (NT), blå slemspindling (NT, T), flattoppad klubbsvamp (NT), odörspindling (NT), sårläka (NT, T), anisspindling (S), diskvaxskivling (S), grönpyrola (S, T), nästrot (S, §8), purpurknipprot (S, §8), skogsknipprot (S, T, §8), svavelriska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1477-2024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6416533, E 721375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