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3324-2023 i Gotlands kommun</w:t>
      </w:r>
    </w:p>
    <w:p>
      <w:r>
        <w:t>Detta klagomål behandlar höga naturvärden i avverkningsanmälan A 3324-2023 i Gotlands kommun som inkom 2023-01-23 och omfattar 6,2 ha.</w:t>
      </w:r>
    </w:p>
    <w:p>
      <w:pPr>
        <w:pStyle w:val="Caption"/>
      </w:pPr>
      <w:r>
        <w:drawing>
          <wp:inline xmlns:a="http://schemas.openxmlformats.org/drawingml/2006/main" xmlns:pic="http://schemas.openxmlformats.org/drawingml/2006/picture">
            <wp:extent cx="5318276" cy="5724000"/>
            <wp:docPr id="1" name="Picture 1"/>
            <wp:cNvGraphicFramePr>
              <a:graphicFrameLocks noChangeAspect="1"/>
            </wp:cNvGraphicFramePr>
            <a:graphic>
              <a:graphicData uri="http://schemas.openxmlformats.org/drawingml/2006/picture">
                <pic:pic>
                  <pic:nvPicPr>
                    <pic:cNvPr id="0" name="A 3324-2023 karta.png"/>
                    <pic:cNvPicPr/>
                  </pic:nvPicPr>
                  <pic:blipFill>
                    <a:blip r:embed="rId16"/>
                    <a:stretch>
                      <a:fillRect/>
                    </a:stretch>
                  </pic:blipFill>
                  <pic:spPr>
                    <a:xfrm>
                      <a:off x="0" y="0"/>
                      <a:ext cx="5318276"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6371633, E 689815 i SWEREF 99 TM.</w:t>
      </w:r>
    </w:p>
    <w:p>
      <w:r>
        <w:t>I och inom 3 meter från avverkningsanmälan finns fynd av 15 naturvårdsarter, varav 11 är rödlistade, 1 är typisk (T) och 4 är signalarter (S): blåfotad fagerspindling (VU), duvspindling (VU), granrotspindling (VU), gulsträngad fagerspindling (VU), svartgrön spindling (VU), trollspindling (VU), tvillingspindling (VU), violettrandad spindling (VU), blå slemspindling (NT, T), odörspindling (NT), äggspindling (NT), anisspindling (S), besk kastanjemusseron (S), olivspindling (S)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