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42201-2023 i Gotlands kommun</w:t>
      </w:r>
    </w:p>
    <w:p>
      <w:r>
        <w:t>Detta klagomål behandlar höga naturvärden i avverkningsanmälan A 42201-2023 i Gotlands kommun som inkom 2023-09-10 och omfattar 11,9 ha.</w:t>
      </w:r>
    </w:p>
    <w:p>
      <w:pPr>
        <w:pStyle w:val="Caption"/>
      </w:pPr>
      <w:r>
        <w:drawing>
          <wp:inline xmlns:a="http://schemas.openxmlformats.org/drawingml/2006/main" xmlns:pic="http://schemas.openxmlformats.org/drawingml/2006/picture">
            <wp:extent cx="5486400" cy="4284870"/>
            <wp:docPr id="1" name="Picture 1"/>
            <wp:cNvGraphicFramePr>
              <a:graphicFrameLocks noChangeAspect="1"/>
            </wp:cNvGraphicFramePr>
            <a:graphic>
              <a:graphicData uri="http://schemas.openxmlformats.org/drawingml/2006/picture">
                <pic:pic>
                  <pic:nvPicPr>
                    <pic:cNvPr id="0" name="A 42201-2023 karta.png"/>
                    <pic:cNvPicPr/>
                  </pic:nvPicPr>
                  <pic:blipFill>
                    <a:blip r:embed="rId16"/>
                    <a:stretch>
                      <a:fillRect/>
                    </a:stretch>
                  </pic:blipFill>
                  <pic:spPr>
                    <a:xfrm>
                      <a:off x="0" y="0"/>
                      <a:ext cx="5486400" cy="428487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6382636, E 696939 i SWEREF 99 TM.</w:t>
      </w:r>
    </w:p>
    <w:p>
      <w:r>
        <w:t>I och inom 5 meter från avverkningsanmälan finns fynd av 12 naturvårdsarter, varav 8 är rödlistade, 1 är fridlyst, 2 är typiska (T) och 4 är signalarter (S): gulsträngad fagerspindling (VU), mörkfjällig olivspindling (VU), narrspindling (VU), violettfläckig spindling (VU), motaggsvamp (NT, T), odörspindling (NT), puderspindling (NT), äggspindling (NT), anisspindling (S), olivspindling (S), skogsknipprot (S, T, §8)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Mörkfjällig olivspindling (VU)</w:t>
      </w:r>
      <w:r>
        <w:t xml:space="preserve"> är en mycket kräsen art som bara förekommer i vissa betespräglade kalktallskogar med långvarig tallkontinuitet samt i exklusiva ädellövskogar på kalk. Arten får betraktas som en ”toppart” som indikerar starkt skyddsvärda skogsområden och den är placerad högst upp i Skogsstyrelsens värdepyramid för bedömning av skog med höga naturvärden. Minskningstakten har uppgått till 30 % under de senaste 50 åren och överstiger gränsvärdet för Sårbar (VU) (SLU Artdatabanken, 2024; Nitare &amp; Skogsstyrelsen, 2019).</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