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584-2023 i Gotlands kommun</w:t>
      </w:r>
    </w:p>
    <w:p>
      <w:r>
        <w:t>Detta klagomål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22 meter från avverkningsanmälan finns fynd av 40 naturvårdsarter, varav 28 är rödlistade, 6 är fridlysta, 8 är typiska (T) och 9 är signalarter (S): blårödling (VU), duvspindling (VU), fågelträcksspindling (VU), garderönn (VU, §7), granrotspindling (VU), gulsträngad fagerspindling (VU), läderdoftande fingersvamp (VU), svartgrön spindling (VU), violettfläckig spindling (VU), vit taggsvamp (VU), backtimjan (NT), barrviolspindling (NT), blå slemspindling (NT, T), denisespindling (NT), duvhök (NT, §4), dårgräsfjäril (NT, §4a), enkelbeckasin (NT, §4), flattoppad klubbsvamp (NT), jungfrulin (NT), kattfotslav (NT, T), kryddspindling (NT, T), odörspindling (NT), reliktbock (NT, T), sandkremla (NT), solvända (NT), vippärt (NT, T), äggspindling (NT), grynspindling (DD), anisspindling (S), bronshjon (S, T), fransig jordstjärna (S), olivspindling (S), rödgul trumpetsvamp (S), svavelriska (S), thomsons trägnagare (S), toppvaxing (S), vågbandad barkbock (S), getrams (T),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Blårödling (VU)</w:t>
      </w:r>
      <w:r>
        <w:t xml:space="preserve"> lever främst i mager, ogödslad fodermark, som naturbetesmarker eller hackslått. Förekommer dessutom i ädellövskog och kalkskog på bar jord, och även i rikkärr. Arten är globalt rödlistad som sårbar (VU) vilket innebär att Sverige har ett internationellt ansvar för arten (SLU Artdatabanken, 2026; IUCN,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Fågelträcksspindling (VU) </w:t>
      </w:r>
      <w:r>
        <w:t>bildar mykorrhiza med tall och/eller gran i luckig och ljusöppen talldominerad kalkbarrskog. Huvudsakliga andelen av landets population finns på Gotland och i Uppland. Den totala populationen i landet bedöms ha minskat och förväntas fortsätta minska på grund av slutavverkning av äldre kalkbarrskog och kontinuitetsskog. Minskningstakten uppgår till 30 (15–50) % inom 50 år och överstiger gränsvärdet för Sårbar (VU) (SLU Artdatabanken, 2026).</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Getrams</w:t>
      </w:r>
      <w:r>
        <w:t xml:space="preserve"> är typisk art för </w:t>
      </w:r>
      <w:r>
        <w:rPr>
          <w:i/>
        </w:rPr>
        <w:t>9190 Näringsfattig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