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32 naturvårdsarter, varav 15 är rödlistade, 8 är fridlysta, 12 är typiska (T) och 10 är signalarter (S): cinnoberfläck (CR), Coniocarpon fallax (CR), ask (EN), lundalm (EN), aspfjädermossa (VU, T), gulsträngad fagerspindling (VU), mörk kraterlav (VU), tvådoftspindling (VU), ädellav (VU, T), fjällig taggsvamp s.str. (NT), kattfotslav (NT, T), odörspindling (NT), svinrot (NT), sårläka (NT, T), vårärt (NT, T), anisspindling (S), havstulpanlav (S, T), korallblylav (S, T), murgröna (S, T), Pluteus cyanopus (S), rikfruktig blemlav (S), skogsknipprot (S, T, §8), svavelriska (S),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kattfotslav (NT,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