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22 meter från avverkningsanmälan finns fynd av 40 naturvårdsarter, varav 28 är rödlistade, 6 är fridlysta, 8 är typiska (T) och 9 är signalarter (S): blårödling (VU), duvspindling (VU), fågelträcksspindling (VU), garderönn (VU, §7), granrotspindling (VU), gulsträngad fagerspindling (VU), läderdoftande fingersvamp (VU), svartgrön spindling (VU), violettfläckig spindling (VU), vit taggsvamp (VU), backtimjan (NT), barrviolspindling (NT), blå slemspindling (NT, T), denisespindling (NT), duvhök (NT, §4), dårgräsfjäril (NT, §4a), enkelbeckasin (NT, §4), flattoppad klubbsvamp (NT), jungfrulin (NT), kattfotslav (NT, T), kryddspindling (NT, T), odörspindling (NT), reliktbock (NT, T), sandkremla (NT), solvända (NT), vippärt (NT, T), äggspindling (NT), grynspindling (DD), anisspindling (S), bronshjon (S, T), fransig jordstjärna (S), olivspindling (S), rödgul trumpetsvamp (S), svavelriska (S), thomsons trägnagare (S), toppvaxing (S), vågbandad barkbock (S), getrams (T),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Blårödling (VU)</w:t>
      </w:r>
      <w:r>
        <w:t xml:space="preserve"> lever främst i mager, ogödslad fodermark, som naturbetesmarker eller hackslått. Förekommer dessutom i ädellövskog och kalkskog på bar jord, och även i rikkärr. Arten är globalt rödlistad som sårbar (VU) vilket innebär att Sverige har ett internationellt ansvar för arten (SLU Artdatabanken, 2026; IUCN,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Getrams</w:t>
      </w:r>
      <w:r>
        <w:t xml:space="preserve"> 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reliktbock (NT, T), vippärt (NT, T), bronshjon (S, T), getrams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