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15075-2025 i Gotlands kommun</w:t>
      </w:r>
    </w:p>
    <w:p>
      <w:r>
        <w:t>Detta klagomål behandlar höga naturvärden i avverkningsanmälan A 15075-2025 i Gotlands kommun som inkom 2025-03-27 och omfattar 20,9 ha.</w:t>
      </w:r>
    </w:p>
    <w:p>
      <w:pPr>
        <w:pStyle w:val="Caption"/>
      </w:pPr>
      <w:r>
        <w:drawing>
          <wp:inline xmlns:a="http://schemas.openxmlformats.org/drawingml/2006/main" xmlns:pic="http://schemas.openxmlformats.org/drawingml/2006/picture">
            <wp:extent cx="5486400" cy="4577243"/>
            <wp:docPr id="1" name="Picture 1"/>
            <wp:cNvGraphicFramePr>
              <a:graphicFrameLocks noChangeAspect="1"/>
            </wp:cNvGraphicFramePr>
            <a:graphic>
              <a:graphicData uri="http://schemas.openxmlformats.org/drawingml/2006/picture">
                <pic:pic>
                  <pic:nvPicPr>
                    <pic:cNvPr id="0" name="A 15075-2025 karta.png"/>
                    <pic:cNvPicPr/>
                  </pic:nvPicPr>
                  <pic:blipFill>
                    <a:blip r:embed="rId16"/>
                    <a:stretch>
                      <a:fillRect/>
                    </a:stretch>
                  </pic:blipFill>
                  <pic:spPr>
                    <a:xfrm>
                      <a:off x="0" y="0"/>
                      <a:ext cx="5486400" cy="45772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6367887, E 715321 i SWEREF 99 TM.</w:t>
      </w:r>
    </w:p>
    <w:p>
      <w:r>
        <w:t>I avverkningsanmälan finns fynd av 30 naturvårdsarter, varav 18 är rödlistade, 4 är fridlysta, 8 är typiska (T) och 9 är signalarter (S): violgubbe (EN), bananspindling (VU), granrotspindling (VU), läderdoftande fingersvamp (VU), narrspindling (VU), svartgrön spindling (VU), taggfingersvamp (VU), tallpraktspindling (VU), trollspindling (VU), violettfläckig spindling (VU), barrviolspindling (NT), blå slemspindling (NT, T), fjällig taggsvamp s.str. (NT), kattfotslav (NT, T), kryddspindling (NT, T), odörspindling (NT), sårläka (NT, T), äggspindling (NT), anisspindling (S), blåmossa (S, T), grönpyrola (S, T), kalktallört (S), olivspindling (S), rödgul trumpetsvamp (S), skogsknipprot (S, T, §8), svavelriska (S), toppvaxing (S), spillkråka (T, §4), kungsfågel (§4)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 xml:space="preserve">Bananspindling (VU) </w:t>
      </w:r>
      <w:r>
        <w:t>bildar mykorrhiza med ek, hassel och lind, i blandad ädellövskog och hässlen på kalkrik mark. Främsta hotet är olika former av exploateringar och skogsbruksåtgärder. Artens växtplatser får inte utsättas för huggningar eller andra kraftiga störningar som förändrar miljön. Bananspindlingen har fått sitt namn från att den har en mer eller mindre tydlig doft av banan/bananskal (SLU Artdatabanken, 2024).</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Narrspindling (VU)</w:t>
      </w:r>
      <w:r>
        <w:t xml:space="preserve"> bildar mykorrhiza med tall på kalkrik mark i luckig kalktallskog. Den är placerad högst upp i Skogsstyrelsens värdepyramid för bedömning av skog med höga naturvärden och är i Norden bara känd från ett fåtal lokaler på Gotland. Arten är mycket sårbar genom sin fåtaliga förekomst och bedöms ha minskat och fortsätter att minska, huvudsakligen p.g.a. slutavverkningar av äldre barrskog (SLU Artdatabanken, 2024; Nitare &amp; Skogsstyrelsen, 2019).</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 xml:space="preserve">Taggfingersvamp (VU) </w:t>
      </w:r>
      <w:r>
        <w:t>är knuten till granskogar med långvarig kontinuitet och bildar mykorrhiza med gran på rikare mark. Den totala populationen i landet bedöms ha minskat kraftigt och fortgående att minska, huvudsakligen p.g.a. att arealen örtrik äldre granskog har minskat de senaste 50 åren. Den hotas främst av skogsavverkning och tycks försvinna efter slutavverkning, markberedning och plantering och det saknas uppgifter om fynd i planterad skog eller sekundär granskog uppkommen på kalmark. Taggfingersvamp är placerad högst upp i Skogsstyrelsens värdepyramid för bedömning av skog med höga naturvärden. Områdesskydd är en viktig åtgärd för att bevara artens förekomster (SLU Artdatabanken, 2024; Nitare &amp; Skogsstyrelsen, 2019).</w:t>
      </w:r>
    </w:p>
    <w:p>
      <w:r>
        <w:rPr>
          <w:b/>
        </w:rPr>
        <w:t>Tallpraktspindling (VU)</w:t>
      </w:r>
      <w:r>
        <w:t>, som bildar mykorrhiza med tall i luckig kalkbarrskog, har sin huvudsakliga utbredning på Gotland samt enstaka fynd på norra Öland. Arten är placerad högst upp i Skogsstyrelsens värdepyramid för bedömning av skog med höga naturvärden och gammal tallskog med förekomst av arten bör skyddas från slutavverkning och andra drastiska skogsskötselåtgärder (SLU Artdatabanken, 2024; Nitare &amp; Skogsstyrelsen, 2019).</w:t>
      </w:r>
    </w:p>
    <w:p>
      <w:r>
        <w:rPr>
          <w:b/>
        </w:rPr>
        <w:t>Trollspindling (VU)</w:t>
      </w:r>
      <w:r>
        <w:t xml:space="preserve"> är en ytterst sällsynt ädelspindling som bildar mykorrhiza med tall och gran i ljusöppen och luckig kalkbarrskog. Främsta hotet är rationellt skogsbruk med slutavverkning eller andra avverkningar. Skydda kända lokaler formellt och om svampen påträffas på nya lokaler bör även dessa skyddas (SLU Artdatabanken, 2026).</w:t>
      </w:r>
    </w:p>
    <w:p>
      <w:r>
        <w:rPr>
          <w:b/>
        </w:rPr>
        <w:t>Violettfläckig spindling (VU)</w:t>
      </w:r>
      <w:r>
        <w:t xml:space="preserve"> bildar mykorrhiza med gran och tall i äldre kalkbarrskogar på torr, örtrik mark. Minskningstakten uppgår till 30 % inom 50 år och överstiger gränsvärdet för Sårbar (VU). Artens ekologiska krav med fynd enbart i äldre, örtrika kalkbarrskogar med kontinuitet, miljöer som idag ofta är starkt hotade av slutavverkningar, gör den mycket sårbar. Alla kända lokaler har ett högt skyddsvärde och kalkbarrskogar med höga naturvärden bör få områdesskydd med individuellt anpassade skötselråd (SLU Artdatabanken, 2024).</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27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30 naturvårdsarter varav 18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