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30542-2025 i Gotlands kommun</w:t>
      </w:r>
    </w:p>
    <w:p>
      <w:r>
        <w:t>Detta klagomål behandlar höga naturvärden i avverkningsanmälan A 30542-2025 i Gotlands kommun som inkom 2025-06-23 och omfattar 8,3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30542-2025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6358504, E 712233 i SWEREF 99 TM.</w:t>
      </w:r>
    </w:p>
    <w:p>
      <w:r>
        <w:t>I och inom 21 meter från avverkningsanmälan finns fynd av 34 naturvårdsarter, varav 23 är rödlistade, 7 är fridlysta, 7 är typiska (T) och 7 är signalarter (S): ask (EN), sienamusseron (EN), granrotspindling (VU), gulsträngad fagerspindling (VU), kopparspindling (VU), narrspindling (VU), svartgrön spindling (VU), trollspindling (VU), violettfläckig spindling (VU), apollofjäril (NT, §4a), axveronika (NT), backtimjan (NT), barrfagerspindling (NT), blå slemspindling (NT, T), dårgräsfjäril (NT, §4a), fjällig taggsvamp s.str. (NT), jordtistel (NT), odörspindling (NT), solvända (NT), svinrot (NT), sårläka (NT, T), äggspindling (NT), ängsstarr (NT), anisspindling (S), blåmossa (S, T), grovticka (S, T), jordstjärnesläktet (S), olivspindling (S), skogsknipprot (S, T, §8), tvåblad (S, §8), ormbär (T), spillkråka (T, §4),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Sienamusseron (EN)</w:t>
      </w:r>
      <w:r>
        <w:t xml:space="preserve"> är en mycket sällsynt och starkt hotad art som bildar mykorrhiza med tall i kalkbarrskog, ofta på något sandiga jordar. Det största enskilda hotet mot arten är slutavverkning av de skogsbestånd där den växer. Sienamusseronen omfattas av ett åtgärdsprogram för hotade arter (ÅGP) och är placerad högst upp i Skogsstyrelsens värdepyramid för bedömning av skog med höga naturvärden. Samtliga förekomster kan tolkas som relikter och varje lokal har mycket högt skyddsvärde (SLU Artdatabanken, 2024; Nitare &amp; Skogsstyrelsen, 2019; Johansson &amp; Bohus-Jensen, 2011).</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