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8645-2025 i Gotlands kommun</w:t>
      </w:r>
    </w:p>
    <w:p>
      <w:r>
        <w:t>Detta klagomål behandlar höga naturvärden i avverkningsanmälan A 8645-2025 i Gotlands kommun som inkom 2025-02-24 och omfattar 21,9 ha.</w:t>
      </w:r>
    </w:p>
    <w:p>
      <w:pPr>
        <w:pStyle w:val="Caption"/>
      </w:pPr>
      <w:r>
        <w:drawing>
          <wp:inline xmlns:a="http://schemas.openxmlformats.org/drawingml/2006/main" xmlns:pic="http://schemas.openxmlformats.org/drawingml/2006/picture">
            <wp:extent cx="5486400" cy="4328788"/>
            <wp:docPr id="1" name="Picture 1"/>
            <wp:cNvGraphicFramePr>
              <a:graphicFrameLocks noChangeAspect="1"/>
            </wp:cNvGraphicFramePr>
            <a:graphic>
              <a:graphicData uri="http://schemas.openxmlformats.org/drawingml/2006/picture">
                <pic:pic>
                  <pic:nvPicPr>
                    <pic:cNvPr id="0" name="A 8645-2025 karta.png"/>
                    <pic:cNvPicPr/>
                  </pic:nvPicPr>
                  <pic:blipFill>
                    <a:blip r:embed="rId16"/>
                    <a:stretch>
                      <a:fillRect/>
                    </a:stretch>
                  </pic:blipFill>
                  <pic:spPr>
                    <a:xfrm>
                      <a:off x="0" y="0"/>
                      <a:ext cx="5486400" cy="432878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6380400, E 721371 i SWEREF 99 TM.</w:t>
      </w:r>
    </w:p>
    <w:p>
      <w:r>
        <w:t>I och inom 17 meter från avverkningsanmälan finns fynd av 19 naturvårdsarter, varav 6 är rödlistade, 10 är fridlysta, 5 är typiska (T) och 7 är signalarter (S): ask (EN), backtimjan (NT), dårgräsfjäril (NT, §4a), loppstarr (NT), solvända (NT), svinrot (NT), blåmossa (S, T), grönpyrola (S, T), kalktallört (S), nästrot (S, §8), skogsknipprot (S, T, §8), strävlosta (S, T), tvåblad (S, §8), spillkråka (T, §4), grönsiska (§4), fläcknycklar (§8), grönvit nattviol (§8),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