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44928-2022 i Gotlands kommun</w:t>
      </w:r>
    </w:p>
    <w:p>
      <w:r>
        <w:t>Detta dokument behandlar höga naturvärden i avverkningsanmälan A 44928-2022 i Gotlands kommun. Denna avverkningsanmälan inkom 2022-10-07 00:00:00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barkkvastmossa (EN, §8), gulsträngad fagerspindling (VU), tvillingspindling (VU), odörspindling (NT), puderspindling (NT), ängsstarr (NT), frostig asplav (DD), anisspindling (S), axag (S), blå slemspindling (S), kattfotslav (S), kärrlilja (S) och svavelriska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0597"/>
            <wp:docPr id="1" name="Picture 1"/>
            <wp:cNvGraphicFramePr>
              <a:graphicFrameLocks noChangeAspect="1"/>
            </wp:cNvGraphicFramePr>
            <a:graphic>
              <a:graphicData uri="http://schemas.openxmlformats.org/drawingml/2006/picture">
                <pic:pic>
                  <pic:nvPicPr>
                    <pic:cNvPr id="0" name="A 44928-2022 karta.png"/>
                    <pic:cNvPicPr/>
                  </pic:nvPicPr>
                  <pic:blipFill>
                    <a:blip r:embed="rId16"/>
                    <a:stretch>
                      <a:fillRect/>
                    </a:stretch>
                  </pic:blipFill>
                  <pic:spPr>
                    <a:xfrm>
                      <a:off x="0" y="0"/>
                      <a:ext cx="5486400" cy="40205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6364018, E 699370 i SWEREF 99 TM.</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Frostig asplav (DD)</w:t>
      </w:r>
      <w:r>
        <w:t xml:space="preserve"> växer på slätbarkiga träd (ask och rönn) i öppna skogar med hög luftfuktighet. Askskottssjuka är ett allvarligt hot, men även dränering av och avverkning på artens lokaler utgör hot. Bara ett fåtal av lokalerna är skyddade. Lokaler med arten bör skyddas. Avverkning och dränering av lokaler bör undvikas (SLU Artdatabanken, 2026).</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Puderspindling (NT) </w:t>
      </w:r>
      <w:r>
        <w:t>bildar mykorrhiza med gran och växer i äldre ängsgranskog på kalkrik mark. Påträffas ofta i myrstackar. Storskaligt skogsbruk med kalavverkning och markberedning eller kraftig gallring är det främsta hotet mot arten. På sikt är det ett problem att skogar av denna typ, med stort inslag av äldre träd inte nybildas. Ett fullständigt skydd för artens lokaler bör övervägas. Där avverkning ändå tillåts måste den ske försiktigt så att kontinuiteten i trädskiktet inte bryts. Ett tillräckligt antal äldre träd måste finnas kvar i beståndet. Det är önskvärt med stor naturvårdshänsyn i alla områden med äldre granskog på näringsrik mark oavsett om dess flora är känd eller ej (SLU Artdatabanken, 2025).</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pPr>
        <w:pStyle w:val="Heading1"/>
      </w:pPr>
      <w:r>
        <w:t>Fridlysta arter</w:t>
      </w:r>
    </w:p>
    <w:p>
      <w:r>
        <w:t>Följande fridlysta arter har sina livsmiljöer och växtplatser i den avverkningsanmälda skogen: barkkvastmossa (EN, §8).</w:t>
      </w:r>
    </w:p>
    <w:p>
      <w:r>
        <w:rPr>
          <w:b/>
        </w:rPr>
        <w:t xml:space="preserve">Barkkvastmossa (EN, §8) </w:t>
      </w:r>
      <w:r>
        <w:t xml:space="preserve">är en starkt hotad art som växer på bark av gamla ädellövträd. Miljöerna utgörs ofta av äldre lövrika blandskogar med hög luftfuktighet, t.ex. i närheten av vattendrag och glupar. Arten är fridlyst enligt 8 § artskyddsförordningen och omfattas av ett åtgärdsprogram för hotade arter (ÅGP) samt av EU:s art- och habitatdirektiv där dess bevarandestatus är dålig med negativ trend. Skogsbruksåtgärder som minskar mängden rikbarksträd och luftfuktigheten på lokalerna utgör ett hot mot barkkvastmossan. Samtliga kända lokaler måste ges ett ändamålsenligt skydd där trädslag som ask, lind, ek och klibbal gynnas. Barkkvastmossa är typisk art för </w:t>
      </w:r>
      <w:r>
        <w:rPr>
          <w:i/>
        </w:rPr>
        <w:t>9760 Svämädellövskog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