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30236-2025 i Gotlands kommun</w:t>
      </w:r>
    </w:p>
    <w:p>
      <w:r>
        <w:t>Detta dokument behandlar höga naturvärden i avverkningsanmälan A 30236-2025 i Gotlands kommun. Denna avverkningsanmälan inkom 2025-06-19 00:00:00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30 naturvårdsarter hittats: bullspindling (VU), duvspindling (VU), granrotspindling (VU), gulsträngad fagerspindling (VU), läderdoftande fingersvamp (VU), stor granspindling (VU), svartgrön spindling (VU), vit taggsvamp (VU), denisespindling (NT), jordtistel (NT), odörspindling (NT), reliktbock (NT), spillkråka (NT, §4), svinrot (NT), anisspindling (S), blå slemspindling (S), blåmossa (S), grönpyrola (S), jordstjärnesläktet (S), kantjordstjärna (S), nästrot (S, §8), olivspindling (S), purpurknipprot (S, §8), rödfläckig zontaggsvamp (S), tvåblad (S, §8), vit skogslilja (S, §8), zontaggsvamp (S), grönvit nattviol (§8), nattviol (§8) och sankt pers nycklar (§8).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9822"/>
            <wp:docPr id="1" name="Picture 1"/>
            <wp:cNvGraphicFramePr>
              <a:graphicFrameLocks noChangeAspect="1"/>
            </wp:cNvGraphicFramePr>
            <a:graphic>
              <a:graphicData uri="http://schemas.openxmlformats.org/drawingml/2006/picture">
                <pic:pic>
                  <pic:nvPicPr>
                    <pic:cNvPr id="0" name="A 30236-2025 karta.png"/>
                    <pic:cNvPicPr/>
                  </pic:nvPicPr>
                  <pic:blipFill>
                    <a:blip r:embed="rId16"/>
                    <a:stretch>
                      <a:fillRect/>
                    </a:stretch>
                  </pic:blipFill>
                  <pic:spPr>
                    <a:xfrm>
                      <a:off x="0" y="0"/>
                      <a:ext cx="5486400" cy="4029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6385159, E 725605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Bullspindling (VU)</w:t>
      </w:r>
      <w:r>
        <w:t xml:space="preserve"> är en kräsen och mycket bra signalart för skyddsvärda äldre granskogar på kalkrik mark. Den är placerad högst upp i Skogsstyrelsens värdepyramid för bedömning av skog med höga naturvärden och skogsbruk, främst kalavverkning utgör ett stort hot mot arten. Artens minskningstakt uppgår till 30 % inom 50 år och överstiger gränsvärdet för Sårbar (VU) (SLU Artdatabanken, 2024; Nitare &amp; Skogsstyrelsen, 2019).</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pPr>
        <w:pStyle w:val="Heading1"/>
      </w:pPr>
      <w:r>
        <w:t>Fridlysta arter</w:t>
      </w:r>
    </w:p>
    <w:p>
      <w:r>
        <w:t>Följande fridlysta arter har sina livsmiljöer och växtplatser i den avverkningsanmälda skogen: spillkråka (NT, §4), nästrot (S, §8), purpurknipprot (S, §8), tvåblad (S, §8), vit skogslilja (S, §8), grönvit nattviol (§8), nattviol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