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6839-2026 i Gotlands kommun</w:t>
      </w:r>
    </w:p>
    <w:p>
      <w:r>
        <w:t>Detta dokument behandlar höga naturvärden i avverkningsanmälan A 6839-2026 i Gotlands kommun. Denna avverkningsanmälan inkom 2026-02-04 09:53:11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mörk kraterlav (VU), skogskorn (VU), ekvaxskivling (NT), mjölmusseron (NT) och besk kastanjemusseron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6839-2026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6391314, E 719686 i SWEREF 99 TM.</w:t>
      </w:r>
    </w:p>
    <w:p>
      <w:r>
        <w:rPr>
          <w:b/>
        </w:rPr>
        <w:t>Ekvaxskivling</w:t>
      </w:r>
      <w:r>
        <w:t xml:space="preserve"> bildar mykorrhiza med ek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2026).</w:t>
      </w:r>
    </w:p>
    <w:p>
      <w:r>
        <w:rPr>
          <w:b/>
        </w:rPr>
        <w:t xml:space="preserve">Mjölmusseron </w:t>
      </w:r>
      <w:r>
        <w:t>bildar mykorrhiza med ek, i ljusöppen ekskog, betad hagmark och löväng på mullrik och kalkhaltig mark. Lokaler med förekomst av mjölmusseron bör i stort sett bevaras i oförändrat skick. Alltför kraftig gallring av ek eller plantering av barrskog bör inte få ske (SLU Artdatabanken, 2026).</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