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2222-2024 i Gotlands kommun</w:t>
      </w:r>
    </w:p>
    <w:p>
      <w:r>
        <w:t>Detta dokument behandlar höga naturvärden i avverkningsanmälan A 2222-2024 i Gotlands kommun. Denna avverkningsanmälan inkom 2024-01-18 och omfattar 10,6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13 naturvårdsarter hittats: granrotsspindling (VU), gulsträngad fagerspindling (VU), svartgrön spindling (VU), tvillingspindling (VU), vit taggsvamp (VU), denisespindling (NT), odörspindling (NT), anisspindling (S), blå slemspindling (S), diskvaxskivling (S), fransig jordstjärna (S), olivspindling (S) och rödfläckig zontaggsvamp (S). Av dessa är 7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36362"/>
            <wp:docPr id="1" name="Picture 1"/>
            <wp:cNvGraphicFramePr>
              <a:graphicFrameLocks noChangeAspect="1"/>
            </wp:cNvGraphicFramePr>
            <a:graphic>
              <a:graphicData uri="http://schemas.openxmlformats.org/drawingml/2006/picture">
                <pic:pic>
                  <pic:nvPicPr>
                    <pic:cNvPr id="0" name="A 2222-2024 karta.png"/>
                    <pic:cNvPicPr/>
                  </pic:nvPicPr>
                  <pic:blipFill>
                    <a:blip r:embed="rId16"/>
                    <a:stretch>
                      <a:fillRect/>
                    </a:stretch>
                  </pic:blipFill>
                  <pic:spPr>
                    <a:xfrm>
                      <a:off x="0" y="0"/>
                      <a:ext cx="5486400" cy="533636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6362390, E 695624 i SWEREF 99 TM.</w:t>
      </w:r>
    </w:p>
    <w:p>
      <w:r>
        <w:rPr>
          <w:b/>
        </w:rPr>
        <w:t>Denisespindling (NT)</w:t>
      </w:r>
      <w:r>
        <w:t xml:space="preserve"> bildar mykorrhiza med tall och gran i kalktallskog och ängsgranskog på kalkrik mark. Artens koppling till produktiva äldre granskogar med hög bonitet gör den särskilt utsatt för slutavverkning. Kalkbarrskogar med höga naturvärden bör undantas från rationellt skogsbruk och få områdesskydd med anpassade skötselråd (SLU Artdatabanken, 2024).</w:t>
      </w:r>
    </w:p>
    <w:p>
      <w:r>
        <w:rPr>
          <w:b/>
        </w:rPr>
        <w:t xml:space="preserve">Granrotsspindling (VU) </w:t>
      </w:r>
      <w:r>
        <w:t>bildar mykorrhiza med gran. Växer i djup barrförna, gärna i gamla myrstackar, i medelålders till äldre ängsgranskog på kalkrik mark.</w:t>
      </w:r>
      <w:r>
        <w:rPr>
          <w:b/>
        </w:rPr>
        <w:t xml:space="preserve"> </w:t>
      </w:r>
      <w:r>
        <w:t>Minskningstakten uppgår till 30 % inom 50 år och överstiger gränsvärdet för Sårbar (VU) enligt A-kriteriet. (A2c+3c+4c). Arten missgynnas av avverkning och markberedning. Generellt bör lokaler som är särskilt rika på förekomster av sällsynta svampar säkerställas och lämnas för fri utveckling (SLU Artdatabanken, 2024).</w:t>
      </w:r>
    </w:p>
    <w:p>
      <w:r>
        <w:rPr>
          <w:b/>
        </w:rPr>
        <w:t>Gulsträngad fagerspindling (VU)</w:t>
      </w:r>
      <w:r>
        <w:t>, som bildar mykorrhiza med tall och gran i luckig kalkbarrskog, har sin huvudsakliga utbredning på Gotland samt enstaka fynd på norra Öland. Arten är placerad högst upp i Skogsstyrelsens värdepyramid för bedömning av skog med höga naturvärden och hotas av slutavverkningar av äldre kontinuitetsbarrskog. Lokaler med arten måste skyddas från avverkning och kalkbrytning. Gulsträngad fagerspindling är globalt rödlistad som sårbar (VU) vilket innebär att Sverige har ett internationellt ansvar för arten (SLU Artdatabanken, 2024; Nitare &amp; Skogsstyrelsen, 2019; IUCN, 2019).</w:t>
      </w:r>
    </w:p>
    <w:p>
      <w:r>
        <w:rPr>
          <w:b/>
        </w:rPr>
        <w:t>Odörspindling (NT)</w:t>
      </w:r>
      <w:r>
        <w:t xml:space="preserve"> bildar mykorrhiza med gran och tall i örtrik kalkbarrskog. Den uppträder huvudsakligen i äldre barrskogar så kallade ”bondeskogar” med en lång trädkontinuitet. Minskningstakten uppgår till 15 % inom 50 år och bedöms vara nära gränsvärdet för Sårbar (VU). (A2c+3c+4c). Virkesrika, äldre barrskogar med hög bonitet, på bättre jordar är en bristvara i befintliga, skyddade områden i Sverige och fler örtrika barrskogar med trädkontinuitet måste skyddas i större utsträckning än vad som tidigare gjorts. Områden med odörspindling bör inte gallras eller plockhuggas om inte huggningen efterföljs av skogsbete (SLU Artdatabanken, 2024).</w:t>
      </w:r>
    </w:p>
    <w:p>
      <w:r>
        <w:rPr>
          <w:b/>
        </w:rPr>
        <w:t>Olivspindling</w:t>
      </w:r>
      <w:r>
        <w:t xml:space="preserve"> växer uteslutande på näringsrik och kalkhaltig skogsmark där den huvudsakligen bildar mykorrhiza med gran och tall. Svampen är en typisk representant för kalkgranskogens särpräglade och rika svampflora. Kalavverkning är ett hot mot arten, eftersom den sannolikt kräver lång kontinuitet av äldre träd. Populationerna i landet bedöms därför minska beroende på slutavverkning av äldre barrskog på kalkhaltig mark (SLU Artdatabanken, 2024; Nitare &amp; Skogsstyrelsen, 2019).</w:t>
      </w:r>
    </w:p>
    <w:p>
      <w:r>
        <w:rPr>
          <w:b/>
        </w:rPr>
        <w:t>Svartgrön spindling (VU)</w:t>
      </w:r>
      <w:r>
        <w:t>, som bildar mykorrhiza med gran och tall i ängsgranskog och barrblandskog på kalkrik mark, har i Sverige sin huvudsakliga utbredning på Gotland. Arten är placerad högst upp i Skogsstyrelsens värdepyramid för bedömning av skog med höga naturvärden och den missgynnas av intensivt skogsbruk och kalavverkningar. Svartgrön spindling är globalt rödlistad som nära hotad (NT) vilket innebär att Sverige har ett internationellt ansvar för arten (SLU Artdatabanken, 2024; Nitare &amp; Skogsstyrelsen, 2019; IUCN, 2019).</w:t>
      </w:r>
    </w:p>
    <w:p>
      <w:r>
        <w:rPr>
          <w:b/>
        </w:rPr>
        <w:t>Tvillingspindling (VU)</w:t>
      </w:r>
      <w:r>
        <w:t xml:space="preserve"> bildar mykorrhiza med gran och växer enbart i örtrika grandominerade kalkbarrskogar med kontinuitet och hög bonitet, miljöer som idag är starkt hotade av slutavverkningar. Tvillingspindlingen liksom en lång rad av dess följearter knutna till kalk- och örtrika barrblandskogar med lång kontinuitet är beroende av områdesskydd eller naturvårdsavtal som förhindrar slutavverkningar av dess växtmiljöer (SLU Artdatabanken, 2024).</w:t>
      </w:r>
    </w:p>
    <w:p>
      <w:r>
        <w:rPr>
          <w:b/>
        </w:rPr>
        <w:t xml:space="preserve">Vit taggsvamp (VU) </w:t>
      </w:r>
      <w:r>
        <w:t>bildar mykorrhiza med gran och tall i äldre ängsgranskog och hällmarksbarrskog på kalkrik mark. Kända aktuella lokaler finns endast på Gotland. Det främsta hotet mot arten är avverkning av dess värdträd gran och tall och kända lokaler bör undantas från avverkning för att säkra att dessa hålls intakta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