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20831-2024 i Gotlands kommun</w:t>
      </w:r>
    </w:p>
    <w:p>
      <w:r>
        <w:t>Detta dokument behandlar höga naturvärden i avverkningsanmälan A 20831-2024 i Gotlands kommun. Denna avverkningsanmälan inkom 2024-05-27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dårgräsfjäril (NT, §4a), svinrot (NT) och skogsknipprot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20831-2024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6369737, E 720082 i SWEREF 99 TM.</w:t>
      </w:r>
    </w:p>
    <w:p>
      <w:pPr>
        <w:pStyle w:val="Heading1"/>
      </w:pPr>
      <w:r>
        <w:t>Fridlysta arter</w:t>
      </w:r>
    </w:p>
    <w:p>
      <w:r>
        <w:t>Följande fridlysta arter har sina livsmiljöer och växtplatser i den avverkningsanmälda skogen: dårgräsfjäril (NT, §4a) och skogsknipprot (S, §8).</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Skogsknipprot (§8)</w:t>
      </w:r>
      <w:r>
        <w:t xml:space="preserve"> är fridlyst enligt 8§ artskyddsförordningen och typisk art för </w:t>
      </w:r>
      <w:r>
        <w:rPr>
          <w:i/>
        </w:rPr>
        <w:t>9050 Näringsrik granskog</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