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52223-2025 i Gotlands kommun</w:t>
      </w:r>
    </w:p>
    <w:p>
      <w:r>
        <w:t>Detta dokument behandlar höga naturvärden i avverkningsanmälan A 52223-2025 i Gotlands kommun. Denna avverkningsanmälan inkom 2025-10-23 10:40:56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axveronika (NT), backtimjan (NT), solvända (NT), spillkråka (NT, §4), ängsstarr (NT), anisspindling (S), murgröna (S), skogsknipprot (S, §8), brudsporre (§8), kärrknipprot (§8) och ängsnycklar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39406"/>
            <wp:docPr id="1" name="Picture 1"/>
            <wp:cNvGraphicFramePr>
              <a:graphicFrameLocks noChangeAspect="1"/>
            </wp:cNvGraphicFramePr>
            <a:graphic>
              <a:graphicData uri="http://schemas.openxmlformats.org/drawingml/2006/picture">
                <pic:pic>
                  <pic:nvPicPr>
                    <pic:cNvPr id="0" name="A 52223-2025 karta.png"/>
                    <pic:cNvPicPr/>
                  </pic:nvPicPr>
                  <pic:blipFill>
                    <a:blip r:embed="rId16"/>
                    <a:stretch>
                      <a:fillRect/>
                    </a:stretch>
                  </pic:blipFill>
                  <pic:spPr>
                    <a:xfrm>
                      <a:off x="0" y="0"/>
                      <a:ext cx="5486400" cy="7939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6365024, E 711810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Fridlysta arter</w:t>
      </w:r>
    </w:p>
    <w:p>
      <w:r>
        <w:t>Följande fridlysta arter har sina livsmiljöer och växtplatser i den avverkningsanmälda skogen: spillkråka (NT, §4), skogsknipprot (S, §8), brudsporre (§8), kärrknipprot (§8) och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