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ask (EN), bullspindling (VU), duvspindling (VU), gul lammticka (VU), gulsträngad fagerspindling (VU), knärot (VU, §8), rostspindling (VU), svartgrön spindling (VU), dårgräsfjäril (NT, §4a), flattoppad klubbsvamp (NT), jordtistel (NT), loppstarr (NT), majviva (NT), odörspindling (NT), orange taggsvamp (NT), svart taggsvamp (NT), svinrot (NT), ängsstarr (NT), anisspindling (S), axag (S), besk kastanjemusseron (S), blåmossa (S), grönpyrola (S), kalktallört (S), nästrot (S, §8), olivspindling (S), purpurknipprot (S, §8), rödfläckig zontaggsvamp (S), skogsknipprot (S, §8), sårläka (S), tvåblad (S, §8), Dactylorhiza incarnata subsp. incarnata (§8), fläcknycklar (§8), grönvit nattviol (§8), nattviol (§8) och sankt pers 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