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som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13 naturvårdsarter hittats: bredbrämad bastardsvärmare (VU), gotlandsmåra (VU), solvända (NT), svinrot (NT), purpurknipprot (S, §8), skogsknipprot (S, T, §8), tvåblad (S, §8), vit skogslilja (S, §8), citronfläckad kärrtrollslända (§4a), brudsporre (§8), fläcknycklar (§8), kärrknipprot (§8) och nattviol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2"/>
      </w:pPr>
      <w:r>
        <w:t>Fridlysta arter</w:t>
      </w:r>
    </w:p>
    <w:p>
      <w:r>
        <w:t>Följande fridlysta arter har sina livsmiljöer och växtplatser i den avverkningsanmälda skogen: purpurknipprot (S, §8), skogsknipprot (S, T, §8), tvåblad (S, §8), vit skogslilja (S, §8), citronfläckad kärrtrollslända (§4a), brudsporre (§8), fläcknycklar (§8), kärrknipprot (§8) och nattviol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