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7648-2020 i Gotlands kommun</w:t>
      </w:r>
    </w:p>
    <w:p>
      <w:r>
        <w:t>Detta dokument behandlar höga naturvärden i avverkningsanmälan A 7648-2020 i Gotlands kommun. Denna avverkningsanmälan inkom 2020-02-11 och omfattar 4,2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5 naturvårdsarter hittats: ädellav (EN), orangepudrad klotterlav (NT), kornig nållav (S), rikfruktig blemlav (S) och slät lönnlav (S). Av dessa är 2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360796"/>
            <wp:docPr id="1" name="Picture 1"/>
            <wp:cNvGraphicFramePr>
              <a:graphicFrameLocks noChangeAspect="1"/>
            </wp:cNvGraphicFramePr>
            <a:graphic>
              <a:graphicData uri="http://schemas.openxmlformats.org/drawingml/2006/picture">
                <pic:pic>
                  <pic:nvPicPr>
                    <pic:cNvPr id="0" name="A 7648-2020 karta.png"/>
                    <pic:cNvPicPr/>
                  </pic:nvPicPr>
                  <pic:blipFill>
                    <a:blip r:embed="rId16"/>
                    <a:stretch>
                      <a:fillRect/>
                    </a:stretch>
                  </pic:blipFill>
                  <pic:spPr>
                    <a:xfrm>
                      <a:off x="0" y="0"/>
                      <a:ext cx="5486400" cy="536079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6341397, E 703857 i SWEREF 99 TM.</w:t>
      </w:r>
    </w:p>
    <w:p>
      <w:r>
        <w:rPr>
          <w:b/>
        </w:rPr>
        <w:t xml:space="preserve">Kornig nållav </w:t>
      </w:r>
      <w:r>
        <w:t>förekommer i skuggiga miljöer med hög luftfuktighet och påträffas främst i gamla skogar eller på gamla träd. Den signalerar höga naturvärden och på lokalerna finns ofta flera ovanliga och rödlistade arter (SLU Artdatabanken, 2024; Nitare &amp; Skogsstyrelsen, 2019).</w:t>
      </w:r>
    </w:p>
    <w:p>
      <w:r>
        <w:rPr>
          <w:b/>
        </w:rPr>
        <w:t xml:space="preserve">Ädellav (EN) </w:t>
      </w:r>
      <w:r>
        <w:t>är en starkt hotad lav som förekommer i kulturmiljöer som lövängar och ädellövträdsdungar på inägomark, skogsmiljöer som ädellövskog samt blandskogar med asp och gran. Luftfuktigheten är alltid hög. Arten är placerad högst upp i Skogsstyrelsens värdepyramid för bedömning av skog med höga naturvärden och lokaler bör skyddas mot slutavverkning och dikning (SLU Artdatabanken, 2024;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2025-07-11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