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63872-2021 i Gotlands kommun</w:t>
      </w:r>
    </w:p>
    <w:p>
      <w:r>
        <w:t>Detta dokument behandlar höga naturvärden i avverkningsanmälan A 63872-2021 i Gotlands kommun. Denna avverkningsanmälan inkom 2021-11-09 00:00:00 och omfattar 20,5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12 naturvårdsarter hittats: duvspindling (VU), gulsträngad fagerspindling (VU), svartgrön spindling (VU), tallpraktspindling (VU), jordtistel (NT), kristallporing (NT), lundvaxskivling (NT), odörspindling (NT), spillkråka (NT, §4), barrfagerspindling (S), sankt pers nycklar (§8) och blåsippa (§9). Av dessa är 9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07040"/>
            <wp:docPr id="1" name="Picture 1"/>
            <wp:cNvGraphicFramePr>
              <a:graphicFrameLocks noChangeAspect="1"/>
            </wp:cNvGraphicFramePr>
            <a:graphic>
              <a:graphicData uri="http://schemas.openxmlformats.org/drawingml/2006/picture">
                <pic:pic>
                  <pic:nvPicPr>
                    <pic:cNvPr id="0" name="A 63872-2021 karta.png"/>
                    <pic:cNvPicPr/>
                  </pic:nvPicPr>
                  <pic:blipFill>
                    <a:blip r:embed="rId16"/>
                    <a:stretch>
                      <a:fillRect/>
                    </a:stretch>
                  </pic:blipFill>
                  <pic:spPr>
                    <a:xfrm>
                      <a:off x="0" y="0"/>
                      <a:ext cx="5486400" cy="470704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6415580, E 710425 i SWEREF 99 TM.</w:t>
      </w:r>
    </w:p>
    <w:p>
      <w:r>
        <w:rPr>
          <w:b/>
        </w:rPr>
        <w:t>Duvspindling (VU)</w:t>
      </w:r>
      <w:r>
        <w:t xml:space="preserve"> bildar mykorrhiza med tall och förmodligen även gran i torr, kalkrik barrskog. Arten är placerad högst upp i Skogsstyrelsens värdepyramid för bedömning av skog med höga naturvärden och utgör en mycket bra indikator på skyddsvärd kalktallskog av sydöstlig typ. Kalavverkning, markberedning och markavvattning utgör de främsta hoten (SLU Artdatabanken, 2024; Nitare &amp; Skogsstyrelsen, 2019).</w:t>
      </w:r>
    </w:p>
    <w:p>
      <w:r>
        <w:rPr>
          <w:b/>
        </w:rPr>
        <w:t>Gulsträngad fagerspindling (VU)</w:t>
      </w:r>
      <w:r>
        <w:t>, som bildar mykorrhiza med tall och gran i luckig kalkbarrskog, har sin huvudsakliga utbredning på Gotland samt enstaka fynd på norra Öland. Arten är placerad högst upp i Skogsstyrelsens värdepyramid för bedömning av skog med höga naturvärden och hotas av slutavverkningar av äldre kontinuitetsbarrskog. Lokaler med arten måste skyddas från avverkning och kalkbrytning. Gulsträngad fagerspindling är globalt rödlistad som sårbar (VU) vilket innebär att Sverige har ett internationellt ansvar för arten (SLU Artdatabanken, 2024; Nitare &amp; Skogsstyrelsen, 2019; IUCN, 2019).</w:t>
      </w:r>
    </w:p>
    <w:p>
      <w:r>
        <w:rPr>
          <w:b/>
        </w:rPr>
        <w:t>Lundvaxskivling (NT)</w:t>
      </w:r>
      <w:r>
        <w:t xml:space="preserve"> växer i luckig ek- och ädellövskog samt hagmark och löväng där den på örtrik mark bildar mykorrhiza med ek, ev. även med hassel och bok. Arten kan betraktas som en indikatorart för goda lövbiotoper och lokaler med rik förekomst av denna art har ett högt skyddsvärde och bör bevaras i oförändrat skick. Ekskogar och ädellövskogar med ek skall inte ersättas med annat trädslag och brukning bör ske med stor försiktighet (SLU Artdatabanken, 2024).</w:t>
      </w:r>
    </w:p>
    <w:p>
      <w:r>
        <w:rPr>
          <w:b/>
        </w:rPr>
        <w:t>Odörspindling (NT)</w:t>
      </w:r>
      <w:r>
        <w:t xml:space="preserve"> bildar mykorrhiza med gran och tall i örtrik kalkbarrskog. Den uppträder huvudsakligen i äldre barrskogar så kallade ”bondeskogar” med en lång trädkontinuitet. Minskningstakten uppgår till 15 % inom 50 år och bedöms vara nära gränsvärdet för Sårbar (VU). (A2c+3c+4c). Virkesrika, äldre barrskogar med hög bonitet, på bättre jordar är en bristvara i befintliga, skyddade områden i Sverige och fler örtrika barrskogar med trädkontinuitet måste skyddas i större utsträckning än vad som tidigare gjorts. Områden med odörspindling bör inte gallras eller plockhuggas om inte huggningen efterföljs av skogsbete (SLU Artdatabanken, 2024).</w:t>
      </w:r>
    </w:p>
    <w:p>
      <w:r>
        <w:rPr>
          <w:b/>
        </w:rPr>
        <w:t>Svartgrön spindling (VU)</w:t>
      </w:r>
      <w:r>
        <w:t>, som bildar mykorrhiza med gran och tall i ängsgranskog och barrblandskog på kalkrik mark, har i Sverige sin huvudsakliga utbredning på Gotland. Arten är placerad högst upp i Skogsstyrelsens värdepyramid för bedömning av skog med höga naturvärden och den missgynnas av intensivt skogsbruk och kalavverkningar. Svartgrön spindling är globalt rödlistad som nära hotad (NT) vilket innebär att Sverige har ett internationellt ansvar för arten (SLU Artdatabanken, 2024; Nitare &amp; Skogsstyrelsen, 2019; IUCN, 2019).</w:t>
      </w:r>
    </w:p>
    <w:p>
      <w:r>
        <w:rPr>
          <w:b/>
        </w:rPr>
        <w:t>Tallpraktspindling (VU)</w:t>
      </w:r>
      <w:r>
        <w:t>, som bildar mykorrhiza med tall i luckig kalkbarrskog, har sin huvudsakliga utbredning på Gotland samt enstaka fynd på norra Öland. Arten är placerad högst upp i Skogsstyrelsens värdepyramid för bedömning av skog med höga naturvärden och gammal tallskog med förekomst av arten bör skyddas från slutavverkning och andra drastiska skogsskötselåtgärder (SLU Artdatabanken, 2024; Nitare &amp; Skogsstyrelsen, 2019).</w:t>
      </w:r>
    </w:p>
    <w:p>
      <w:pPr>
        <w:pStyle w:val="Heading1"/>
      </w:pPr>
      <w:r>
        <w:t>Fridlysta arter</w:t>
      </w:r>
    </w:p>
    <w:p>
      <w:r>
        <w:t>Följande fridlysta arter har sina livsmiljöer och växtplatser i den avverkningsanmälda skogen: spillkråka (NT, §4), sankt pers nycklar (§8) och blåsippa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