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klagomål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29 naturvårdsarter, varav 19 är rödlistade, 5 är fridlysta, 4 är typiska (T) och 9 är signalarter (S): sienamusseron (EN), svartnande fingersvamp (EN), fågelträcksspindling (VU), granrotspindling (VU), gulsträngad fagerspindling (VU), mörkfjällig olivspindling (VU), svartfläckig blåvinge (VU, §4a), svartgrön spindling (VU), tvillingspindling (VU), vit taggsvamp (VU), backtimjan (NT), blå slemspindling (NT, T), dårgräsfjäril (NT, §4a), kryddspindling (NT, T), odörspindling (NT), slåtterfibbla (NT, T), solvända (NT), svinrot (NT), äggspindling (NT), anisspindling (S), blomkålssvamp (S), blåmossa (S, T), diskvaxskivling (S), fransig jordstjärna (S), nästrot (S, §8), purpurknipprot (S, §8), rödgul trumpetsvamp (S), toppvaxing (S)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