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1769-2022 i Gotlands kommun</w:t>
      </w:r>
    </w:p>
    <w:p>
      <w:r>
        <w:t>Denna tillsynsbegäran behandlar höga naturvärden i avverkningsanmälan A 1769-2022 i Gotlands kommun som inkom 2022-01-13 och omfattar 31,3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6411513, E 715331 i SWEREF 99 TM.</w:t>
      </w:r>
    </w:p>
    <w:p>
      <w:r>
        <w:t>I och inom 22 meter från avverkningsanmälan finns fynd av 31 naturvårdsarter, varav 22 är rödlistade, 5 är fridlysta, 2 är typiska (T) och 5 är signalarter (S): sträv jordstjärna (EN), svartnande fingersvamp (EN), Clitopaxillus alexandri (VU), duvspindling (VU), gulsträngad fagerspindling (VU), narrspindling (VU), svartgrön spindling (VU), trollspindling (VU), ullmusseron (VU), vit taggsvamp (VU), axveronika (NT), backtimjan (NT), barrviolspindling (NT), bittermusseron (NT), blå slemspindling (NT, T), denisespindling (NT), kryddspindling (NT, T), loppstarr (NT), majviva (NT), odörspindling (NT), solvända (NT), ängsstarr (NT), anisspindling (S), besk kastanjemusseron (S), flugblomster (S, §8), fransig jordstjärna (S), olivspindling (S), brudsporre (§8), grönvit nattviol (§8), kärrknipprot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Sträv jordstjärna (EN)</w:t>
      </w:r>
      <w:r>
        <w:t xml:space="preserve"> är en starkt hotad art som växer i gles, helst betad skog på kalkrik mark, gärna i barrmattor eller i anslutning till gamla trädstammar, murkna stubbar eller på och kring myrstackar. Arten är placerad högst upp i Skogsstyrelsens värdepyramid för bedömning av skog med höga naturvärden. Dess starka fästen i gotländska kalkbarrskogar är internationellt viktiga och bör, tillsammans med andra arter i samma miljö, bilda underlag i det fortsatta naturvårdsarbetet för betade kalkbarrskogar (SLU Artdatabanken, 2024;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i/>
        </w:rPr>
        <w:t>Clitopaxillus alexandri</w:t>
      </w:r>
      <w:r>
        <w:rPr>
          <w:b/>
        </w:rPr>
        <w:t xml:space="preserve"> (VU)</w:t>
      </w:r>
      <w:r>
        <w:t xml:space="preserve"> är en pluggtrattskivling som lever som nedbrytare i förna under gran och tall i äldre kalkbarrskog. Hittills endast bekräftad från ett fåtal lokaler på Gotland och en lokal i Västergötland. Det saknas indikation på att arten långsiktigt kan etablera och reproducera sig i skogar som kontinuerligt trakthyggesbrukas. Den typ av tjocka förnalager av lämplig kvalitet som utgör artens habitat hinner inte nyskapas under de omloppstider som råder mellan slutavverkningsfaserna. En fortlöpande minskning bedöms pågå p.g.a. slutavverkning av äldre kalkbarrskog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