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1769-2022 i Gotlands kommun</w:t>
      </w:r>
    </w:p>
    <w:p>
      <w:r>
        <w:t>Detta klagomål behandlar höga naturvärden i avverkningsanmälan A 1769-2022 i Gotlands kommun som inkom 2022-01-13 och omfattar 31,3 ha.</w:t>
      </w:r>
    </w:p>
    <w:p>
      <w:pPr>
        <w:pStyle w:val="Caption"/>
      </w:pPr>
      <w:r>
        <w:drawing>
          <wp:inline xmlns:a="http://schemas.openxmlformats.org/drawingml/2006/main" xmlns:pic="http://schemas.openxmlformats.org/drawingml/2006/picture">
            <wp:extent cx="5486400" cy="4794422"/>
            <wp:docPr id="1" name="Picture 1"/>
            <wp:cNvGraphicFramePr>
              <a:graphicFrameLocks noChangeAspect="1"/>
            </wp:cNvGraphicFramePr>
            <a:graphic>
              <a:graphicData uri="http://schemas.openxmlformats.org/drawingml/2006/picture">
                <pic:pic>
                  <pic:nvPicPr>
                    <pic:cNvPr id="0" name="A 1769-2022 karta.png"/>
                    <pic:cNvPicPr/>
                  </pic:nvPicPr>
                  <pic:blipFill>
                    <a:blip r:embed="rId16"/>
                    <a:stretch>
                      <a:fillRect/>
                    </a:stretch>
                  </pic:blipFill>
                  <pic:spPr>
                    <a:xfrm>
                      <a:off x="0" y="0"/>
                      <a:ext cx="5486400" cy="4794422"/>
                    </a:xfrm>
                    <a:prstGeom prst="rect"/>
                  </pic:spPr>
                </pic:pic>
              </a:graphicData>
            </a:graphic>
          </wp:inline>
        </w:drawing>
      </w:r>
    </w:p>
    <w:p>
      <w:pPr>
        <w:pStyle w:val="Caption"/>
        <w:spacing w:after="240"/>
      </w:pPr>
      <w:r>
        <w:t>Figur 1. Fyndplatser för naturvårdsarter i och inom 22 meter från avverkningsanmälan. Markörer utan svart kant är placerade på fyndplatsen. Markörer med svart kant är placerade vid sidan av fyndplatsen och har ett svart streck som visar fyndplatsens exakta position. Kartans mittpunktskoordinat är N 6411513, E 715331 i SWEREF 99 TM.</w:t>
      </w:r>
    </w:p>
    <w:p>
      <w:r>
        <w:t>I och inom 22 meter från avverkningsanmälan finns fynd av 9 naturvårdsarter, varav 4 är rödlistade, 5 är fridlysta och 1 är signalart (S): axveronika (NT), loppstarr (NT), majviva (NT), ängsstarr (NT), flugblomster (S, §8), brudsporre (§8), grönvit nattviol (§8), kärrknipprot (§8) och vanliga ängsnycklar (§8).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9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