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42411-2026 i Gotlands kommun</w:t>
      </w:r>
    </w:p>
    <w:p>
      <w:r>
        <w:t>Detta klagomål behandlar höga naturvärden i avverkningsanmälan A 42411-2026 i Gotlands kommun som inkom 2026-10-12 och omfattar 1,0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42411-2026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6418165, E 720125 i SWEREF 99 TM.</w:t>
      </w:r>
    </w:p>
    <w:p>
      <w:r>
        <w:t>I och inom 20 meter från avverkningsanmälan finns fynd av 7 naturvårdsarter, varav 5 är rödlistade, 1 är typisk (T) och 2 är signalarter (S): granrotspindling (VU), pluggtrattskivling (VU), ädellav (VU, T), odörspindling (NT), orangepudrad klotterlav (NT), brandmusseron (S) och kragjordstjärna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Pluggtrattskivling (VU)</w:t>
      </w:r>
      <w:r>
        <w:t>, rödlistad som sårbar,</w:t>
      </w:r>
      <w:r>
        <w:rPr>
          <w:b/>
        </w:rPr>
        <w:t xml:space="preserve"> </w:t>
      </w:r>
      <w:r>
        <w:t>är en stor, kraftig och uppmärksammad svamp som uppenbart är mycket ovanlig. Den växer i förna under barrträd i gammal barrskog, helst ängsgranskog på kalkrik mark. Skogsbruk, särskilt slutavverkning, inverkar negativt på arten. Den är troligen också känslig för gallring och markberedning (SLU Artdatabanken, 2024).</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